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C5A9" w14:textId="77777777" w:rsidR="004B2E2C" w:rsidRPr="004B2E2C" w:rsidRDefault="004B2E2C" w:rsidP="004B2E2C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216E0C2" wp14:editId="52B94AF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9BE3B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03D578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02135FC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7DD36D" wp14:editId="5B24D37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441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520D2C5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742C1AE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70D228E" w14:textId="24C783A8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="006D3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13297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70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1DF35C1B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B2E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1C214C55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7A0829" w14:textId="77777777" w:rsidR="004B2E2C" w:rsidRPr="004B2E2C" w:rsidRDefault="004B2E2C" w:rsidP="004B2E2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4B2E2C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6A0784E7" w14:textId="77777777" w:rsidR="004B2E2C" w:rsidRDefault="004B2E2C" w:rsidP="004B2E2C">
      <w:pPr>
        <w:pStyle w:val="a5"/>
        <w:ind w:firstLine="142"/>
        <w:rPr>
          <w:rFonts w:ascii="Times New Roman" w:hAnsi="Times New Roman" w:cs="Times New Roman"/>
          <w:sz w:val="28"/>
          <w:szCs w:val="28"/>
          <w:lang w:eastAsia="uk-UA"/>
        </w:rPr>
      </w:pPr>
      <w:r w:rsidRPr="00985098">
        <w:rPr>
          <w:rFonts w:ascii="Times New Roman" w:hAnsi="Times New Roman" w:cs="Times New Roman"/>
          <w:sz w:val="28"/>
          <w:szCs w:val="28"/>
          <w:lang w:eastAsia="uk-UA"/>
        </w:rPr>
        <w:t xml:space="preserve">Про наміри щодо </w:t>
      </w:r>
      <w:r>
        <w:rPr>
          <w:rFonts w:ascii="Times New Roman" w:hAnsi="Times New Roman" w:cs="Times New Roman"/>
          <w:sz w:val="28"/>
          <w:szCs w:val="28"/>
          <w:lang w:eastAsia="uk-UA"/>
        </w:rPr>
        <w:t>налагодження</w:t>
      </w:r>
      <w:r w:rsidRPr="0098509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DE7967E" w14:textId="5141F53E" w:rsidR="004B2E2C" w:rsidRPr="004B2E2C" w:rsidRDefault="004B2E2C" w:rsidP="004B2E2C">
      <w:pPr>
        <w:pStyle w:val="a5"/>
        <w:ind w:firstLine="142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985098">
        <w:rPr>
          <w:rFonts w:ascii="Times New Roman" w:hAnsi="Times New Roman" w:cs="Times New Roman"/>
          <w:sz w:val="28"/>
          <w:szCs w:val="28"/>
          <w:lang w:eastAsia="uk-UA"/>
        </w:rPr>
        <w:t>півпраці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85098">
        <w:rPr>
          <w:rFonts w:ascii="Times New Roman" w:hAnsi="Times New Roman" w:cs="Times New Roman"/>
          <w:sz w:val="28"/>
          <w:szCs w:val="28"/>
          <w:lang w:eastAsia="uk-UA"/>
        </w:rPr>
        <w:t>та партнерських відносин</w:t>
      </w:r>
      <w:r w:rsidRPr="004B2E2C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 xml:space="preserve"> {</w:t>
      </w:r>
      <w:r w:rsidRPr="004B2E2C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4B2E2C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3D361326" w14:textId="6A6A38B1" w:rsidR="00985098" w:rsidRDefault="00985098" w:rsidP="00985098">
      <w:pPr>
        <w:pStyle w:val="a5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080DD118" w14:textId="77777777" w:rsidR="004B2E2C" w:rsidRPr="00985098" w:rsidRDefault="004B2E2C" w:rsidP="00985098">
      <w:pPr>
        <w:pStyle w:val="a5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7DB83414" w14:textId="71E797E8" w:rsidR="00BB30D6" w:rsidRPr="00985098" w:rsidRDefault="00FB6861" w:rsidP="00BB30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Керуючись статтями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43C33" w:rsidRPr="00143C33">
        <w:rPr>
          <w:rFonts w:ascii="Times New Roman" w:hAnsi="Times New Roman" w:cs="Times New Roman"/>
          <w:sz w:val="28"/>
          <w:szCs w:val="28"/>
          <w:lang w:eastAsia="uk-UA"/>
        </w:rPr>
        <w:t>26, 42, 59</w:t>
      </w:r>
      <w:r w:rsidR="00143C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місцеве самоврядування в Україні», Законом України «Про міжнародне територіальне співробітництво</w:t>
      </w:r>
      <w:r w:rsidR="00E961DA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», з метою розвитку міжнародного співробітництва, поглиблення культурних, освітніх, </w:t>
      </w:r>
      <w:r w:rsidR="00DE709F">
        <w:rPr>
          <w:rFonts w:ascii="Times New Roman" w:hAnsi="Times New Roman" w:cs="Times New Roman"/>
          <w:sz w:val="28"/>
          <w:szCs w:val="28"/>
          <w:lang w:eastAsia="uk-UA"/>
        </w:rPr>
        <w:t xml:space="preserve">туристичних, екологічних, 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економічних і соціальних зв’язків Рогатинської міської територіальної громади, </w:t>
      </w:r>
      <w:r w:rsidR="00586F2F" w:rsidRPr="00586F2F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586F2F" w:rsidRPr="00586F2F">
        <w:rPr>
          <w:rFonts w:ascii="Times New Roman" w:hAnsi="Times New Roman" w:cs="Times New Roman"/>
          <w:sz w:val="28"/>
          <w:szCs w:val="28"/>
        </w:rPr>
        <w:t>кладення та забезпечення виконання Угоди про міжнародне територіальне співробітництво у встановленому законодавством порядку</w:t>
      </w:r>
      <w:r w:rsidR="00BB30D6"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, сприяння зовнішньоекономічним зв’язкам підприємств, установ та організацій незалежно від форм власності, розташованих на території Рогатинської міської територіальної громади, враховуючи </w:t>
      </w:r>
      <w:r w:rsidR="00586F2F">
        <w:rPr>
          <w:rFonts w:ascii="Times New Roman" w:hAnsi="Times New Roman" w:cs="Times New Roman"/>
          <w:sz w:val="28"/>
          <w:szCs w:val="28"/>
          <w:lang w:eastAsia="uk-UA"/>
        </w:rPr>
        <w:t>наказ Міністерства розвитку громад та територій України від 16 лютого 2026 року №</w:t>
      </w:r>
      <w:r w:rsidR="00F9604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86F2F">
        <w:rPr>
          <w:rFonts w:ascii="Times New Roman" w:hAnsi="Times New Roman" w:cs="Times New Roman"/>
          <w:sz w:val="28"/>
          <w:szCs w:val="28"/>
          <w:lang w:eastAsia="uk-UA"/>
        </w:rPr>
        <w:t xml:space="preserve">293 «Про погодження </w:t>
      </w:r>
      <w:proofErr w:type="spellStart"/>
      <w:r w:rsidR="00586F2F">
        <w:rPr>
          <w:rFonts w:ascii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586F2F">
        <w:rPr>
          <w:rFonts w:ascii="Times New Roman" w:hAnsi="Times New Roman" w:cs="Times New Roman"/>
          <w:sz w:val="28"/>
          <w:szCs w:val="28"/>
          <w:lang w:eastAsia="uk-UA"/>
        </w:rPr>
        <w:t xml:space="preserve"> угод про міжнародне </w:t>
      </w:r>
      <w:r w:rsidR="00586F2F" w:rsidRPr="00985098">
        <w:rPr>
          <w:rFonts w:ascii="Times New Roman" w:hAnsi="Times New Roman" w:cs="Times New Roman"/>
          <w:sz w:val="28"/>
          <w:szCs w:val="28"/>
          <w:lang w:eastAsia="uk-UA"/>
        </w:rPr>
        <w:t xml:space="preserve">територіальне співробітництво» та </w:t>
      </w:r>
      <w:r w:rsidR="00BB30D6" w:rsidRPr="00985098">
        <w:rPr>
          <w:rFonts w:ascii="Times New Roman" w:hAnsi="Times New Roman" w:cs="Times New Roman"/>
          <w:sz w:val="28"/>
          <w:szCs w:val="28"/>
          <w:lang w:eastAsia="uk-UA"/>
        </w:rPr>
        <w:t>висновки постійних комісій, міська рада ВИРІШИЛА:</w:t>
      </w:r>
    </w:p>
    <w:p w14:paraId="1EB2ECB0" w14:textId="2EE59C29" w:rsidR="00BB30D6" w:rsidRPr="00BB30D6" w:rsidRDefault="00BB30D6" w:rsidP="00F8036D">
      <w:pPr>
        <w:pStyle w:val="a5"/>
        <w:numPr>
          <w:ilvl w:val="0"/>
          <w:numId w:val="2"/>
        </w:numPr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Схвалити наміри щодо </w:t>
      </w:r>
      <w:r w:rsidR="006E2F43">
        <w:rPr>
          <w:rFonts w:ascii="Times New Roman" w:hAnsi="Times New Roman" w:cs="Times New Roman"/>
          <w:sz w:val="28"/>
          <w:szCs w:val="28"/>
          <w:lang w:eastAsia="uk-UA"/>
        </w:rPr>
        <w:t>налагодження</w:t>
      </w: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співпраці та партнерських відносин між </w:t>
      </w:r>
      <w:proofErr w:type="spellStart"/>
      <w:r w:rsidRPr="00BB30D6">
        <w:rPr>
          <w:rFonts w:ascii="Times New Roman" w:hAnsi="Times New Roman" w:cs="Times New Roman"/>
          <w:sz w:val="28"/>
          <w:szCs w:val="28"/>
          <w:lang w:eastAsia="uk-UA"/>
        </w:rPr>
        <w:t>Рогатинською</w:t>
      </w:r>
      <w:proofErr w:type="spellEnd"/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міською територіальною громадою (Україна) та Примарією села </w:t>
      </w:r>
      <w:proofErr w:type="spellStart"/>
      <w:r w:rsidRPr="00BB30D6">
        <w:rPr>
          <w:rFonts w:ascii="Times New Roman" w:hAnsi="Times New Roman" w:cs="Times New Roman"/>
          <w:sz w:val="28"/>
          <w:szCs w:val="28"/>
          <w:lang w:eastAsia="uk-UA"/>
        </w:rPr>
        <w:t>Сірець</w:t>
      </w:r>
      <w:proofErr w:type="spellEnd"/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(Республіка Молдова) з метою співробітництва у сферах освіти, культури, </w:t>
      </w:r>
      <w:r w:rsidR="00DE709F">
        <w:rPr>
          <w:rFonts w:ascii="Times New Roman" w:hAnsi="Times New Roman" w:cs="Times New Roman"/>
          <w:sz w:val="28"/>
          <w:szCs w:val="28"/>
          <w:lang w:eastAsia="uk-UA"/>
        </w:rPr>
        <w:t xml:space="preserve">туризму, екології, економіки, </w:t>
      </w: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місцевого самоврядування, обміну досвідом та реалізації спільних </w:t>
      </w:r>
      <w:proofErr w:type="spellStart"/>
      <w:r w:rsidRPr="00BB30D6">
        <w:rPr>
          <w:rFonts w:ascii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BB30D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12ED482" w14:textId="21012673" w:rsidR="00BB30D6" w:rsidRPr="00586F2F" w:rsidRDefault="00586F2F" w:rsidP="00F8036D">
      <w:pPr>
        <w:pStyle w:val="a5"/>
        <w:numPr>
          <w:ilvl w:val="0"/>
          <w:numId w:val="2"/>
        </w:numPr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86F2F">
        <w:rPr>
          <w:rFonts w:ascii="Times New Roman" w:hAnsi="Times New Roman" w:cs="Times New Roman"/>
          <w:sz w:val="28"/>
          <w:szCs w:val="28"/>
        </w:rPr>
        <w:t>Уповноважити міського голову</w:t>
      </w:r>
      <w:r w:rsidR="00E36B93" w:rsidRPr="00E36B93">
        <w:rPr>
          <w:rFonts w:ascii="Times New Roman" w:hAnsi="Times New Roman" w:cs="Times New Roman"/>
          <w:sz w:val="28"/>
          <w:szCs w:val="28"/>
        </w:rPr>
        <w:t xml:space="preserve"> </w:t>
      </w:r>
      <w:r w:rsidR="00E36B93">
        <w:rPr>
          <w:rFonts w:ascii="Times New Roman" w:hAnsi="Times New Roman" w:cs="Times New Roman"/>
          <w:sz w:val="28"/>
          <w:szCs w:val="28"/>
        </w:rPr>
        <w:t xml:space="preserve">Сергія </w:t>
      </w:r>
      <w:r w:rsidR="005C4858">
        <w:rPr>
          <w:rFonts w:ascii="Times New Roman" w:hAnsi="Times New Roman" w:cs="Times New Roman"/>
          <w:sz w:val="28"/>
          <w:szCs w:val="28"/>
        </w:rPr>
        <w:t>НАСАЛИКА</w:t>
      </w:r>
      <w:r w:rsidR="005C4858" w:rsidRPr="00586F2F">
        <w:rPr>
          <w:rFonts w:ascii="Times New Roman" w:hAnsi="Times New Roman" w:cs="Times New Roman"/>
          <w:sz w:val="28"/>
          <w:szCs w:val="28"/>
        </w:rPr>
        <w:t xml:space="preserve"> </w:t>
      </w:r>
      <w:r w:rsidRPr="00586F2F">
        <w:rPr>
          <w:rFonts w:ascii="Times New Roman" w:hAnsi="Times New Roman" w:cs="Times New Roman"/>
          <w:sz w:val="28"/>
          <w:szCs w:val="28"/>
        </w:rPr>
        <w:t xml:space="preserve">укласти від імені Рогатинської міської ради Угоду про міжнародне територіальне співробітництво між </w:t>
      </w:r>
      <w:proofErr w:type="spellStart"/>
      <w:r w:rsidRPr="00586F2F">
        <w:rPr>
          <w:rFonts w:ascii="Times New Roman" w:hAnsi="Times New Roman" w:cs="Times New Roman"/>
          <w:sz w:val="28"/>
          <w:szCs w:val="28"/>
        </w:rPr>
        <w:t>Рогатинською</w:t>
      </w:r>
      <w:proofErr w:type="spellEnd"/>
      <w:r w:rsidRPr="00586F2F">
        <w:rPr>
          <w:rFonts w:ascii="Times New Roman" w:hAnsi="Times New Roman" w:cs="Times New Roman"/>
          <w:sz w:val="28"/>
          <w:szCs w:val="28"/>
        </w:rPr>
        <w:t xml:space="preserve"> міською радою (Україна) та Примарією села </w:t>
      </w:r>
      <w:proofErr w:type="spellStart"/>
      <w:r w:rsidRPr="00586F2F">
        <w:rPr>
          <w:rFonts w:ascii="Times New Roman" w:hAnsi="Times New Roman" w:cs="Times New Roman"/>
          <w:sz w:val="28"/>
          <w:szCs w:val="28"/>
        </w:rPr>
        <w:t>Сірець</w:t>
      </w:r>
      <w:proofErr w:type="spellEnd"/>
      <w:r w:rsidRPr="00586F2F">
        <w:rPr>
          <w:rFonts w:ascii="Times New Roman" w:hAnsi="Times New Roman" w:cs="Times New Roman"/>
          <w:sz w:val="28"/>
          <w:szCs w:val="28"/>
        </w:rPr>
        <w:t xml:space="preserve"> (Республіка Молдова), яка не суперечить чинному законодавству України (додається).</w:t>
      </w:r>
    </w:p>
    <w:p w14:paraId="0C9B5E64" w14:textId="7987EA62" w:rsidR="00BB30D6" w:rsidRPr="00BB30D6" w:rsidRDefault="00BB30D6" w:rsidP="00F8036D">
      <w:pPr>
        <w:pStyle w:val="a5"/>
        <w:numPr>
          <w:ilvl w:val="0"/>
          <w:numId w:val="2"/>
        </w:numPr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Доручити виконавчому комітету Рогатинської міської ради забезпечити організаційні заходи щодо </w:t>
      </w:r>
      <w:r w:rsidR="006E2F43">
        <w:rPr>
          <w:rFonts w:ascii="Times New Roman" w:hAnsi="Times New Roman" w:cs="Times New Roman"/>
          <w:sz w:val="28"/>
          <w:szCs w:val="28"/>
          <w:lang w:eastAsia="uk-UA"/>
        </w:rPr>
        <w:t>налагодження</w:t>
      </w: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 співпраці та партнерських відносин.</w:t>
      </w:r>
    </w:p>
    <w:p w14:paraId="3F80C9AA" w14:textId="0666945B" w:rsidR="00BB30D6" w:rsidRPr="00BB30D6" w:rsidRDefault="00BB30D6" w:rsidP="00F8036D">
      <w:pPr>
        <w:pStyle w:val="a5"/>
        <w:numPr>
          <w:ilvl w:val="0"/>
          <w:numId w:val="2"/>
        </w:numPr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B30D6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міської ради з питань </w:t>
      </w:r>
      <w:r w:rsidR="00E86210">
        <w:rPr>
          <w:rFonts w:ascii="Times New Roman" w:hAnsi="Times New Roman" w:cs="Times New Roman"/>
          <w:sz w:val="28"/>
          <w:szCs w:val="28"/>
          <w:lang w:eastAsia="uk-UA"/>
        </w:rPr>
        <w:t>законності та місцевого самоврядування (</w:t>
      </w:r>
      <w:r w:rsidR="00F8036D">
        <w:rPr>
          <w:rFonts w:ascii="Times New Roman" w:hAnsi="Times New Roman" w:cs="Times New Roman"/>
          <w:sz w:val="28"/>
          <w:szCs w:val="28"/>
          <w:lang w:eastAsia="uk-UA"/>
        </w:rPr>
        <w:t xml:space="preserve">голова комісії – </w:t>
      </w:r>
      <w:r w:rsidR="00E86210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F8036D">
        <w:rPr>
          <w:rFonts w:ascii="Times New Roman" w:hAnsi="Times New Roman" w:cs="Times New Roman"/>
          <w:sz w:val="28"/>
          <w:szCs w:val="28"/>
          <w:lang w:eastAsia="uk-UA"/>
        </w:rPr>
        <w:t xml:space="preserve">олодимир </w:t>
      </w:r>
      <w:r w:rsidR="00E86210">
        <w:rPr>
          <w:rFonts w:ascii="Times New Roman" w:hAnsi="Times New Roman" w:cs="Times New Roman"/>
          <w:sz w:val="28"/>
          <w:szCs w:val="28"/>
          <w:lang w:eastAsia="uk-UA"/>
        </w:rPr>
        <w:t>СТ</w:t>
      </w:r>
      <w:r w:rsidR="00E0685D">
        <w:rPr>
          <w:rFonts w:ascii="Times New Roman" w:hAnsi="Times New Roman" w:cs="Times New Roman"/>
          <w:sz w:val="28"/>
          <w:szCs w:val="28"/>
          <w:lang w:eastAsia="uk-UA"/>
        </w:rPr>
        <w:t>РУК)</w:t>
      </w:r>
      <w:r w:rsidRPr="00BB30D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5C2CDD4" w14:textId="77777777" w:rsidR="00E961DA" w:rsidRDefault="00E961DA" w:rsidP="00F8036D">
      <w:pPr>
        <w:pStyle w:val="a5"/>
        <w:tabs>
          <w:tab w:val="left" w:pos="993"/>
        </w:tabs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33E1AF" w14:textId="7F5B6CE1" w:rsidR="00DE709F" w:rsidRDefault="0098509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Сергій НАСАЛИК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C4858" w:rsidRPr="005C4858" w14:paraId="6C4AEB67" w14:textId="77777777" w:rsidTr="00655DEE">
        <w:trPr>
          <w:trHeight w:val="3014"/>
        </w:trPr>
        <w:tc>
          <w:tcPr>
            <w:tcW w:w="4428" w:type="dxa"/>
          </w:tcPr>
          <w:p w14:paraId="0E683E30" w14:textId="77777777" w:rsidR="005C4858" w:rsidRPr="005C4858" w:rsidRDefault="005C4858" w:rsidP="005C4858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b/>
                <w:sz w:val="32"/>
              </w:rPr>
            </w:pPr>
            <w:r w:rsidRPr="005C48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lastRenderedPageBreak/>
              <w:drawing>
                <wp:inline distT="0" distB="0" distL="0" distR="0" wp14:anchorId="16DABDAD" wp14:editId="60AB40B4">
                  <wp:extent cx="1157933" cy="1491690"/>
                  <wp:effectExtent l="0" t="0" r="4445" b="0"/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71" cy="1507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50266704" w14:textId="77777777" w:rsidR="005C4858" w:rsidRPr="005C4858" w:rsidRDefault="005C4858" w:rsidP="005C4858">
            <w:pPr>
              <w:spacing w:after="200" w:line="276" w:lineRule="auto"/>
              <w:jc w:val="center"/>
              <w:rPr>
                <w:rFonts w:ascii="Times New Roman" w:eastAsia="Times New Roman" w:hAnsi="Times New Roman" w:cs="Arial"/>
                <w:b/>
                <w:sz w:val="32"/>
              </w:rPr>
            </w:pPr>
            <w:r w:rsidRPr="005C4858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inline distT="114300" distB="114300" distL="114300" distR="114300" wp14:anchorId="24DE35B3" wp14:editId="7BBED49D">
                  <wp:extent cx="1757045" cy="1552575"/>
                  <wp:effectExtent l="0" t="0" r="0" b="9525"/>
                  <wp:docPr id="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t="13991" b="16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33" cy="1553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35BE4A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b/>
          <w:sz w:val="32"/>
        </w:rPr>
        <w:t>УГОДА</w:t>
      </w:r>
    </w:p>
    <w:p w14:paraId="55D1D7B3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b/>
          <w:sz w:val="28"/>
        </w:rPr>
        <w:t xml:space="preserve">про </w:t>
      </w:r>
      <w:proofErr w:type="spellStart"/>
      <w:r w:rsidRPr="005C4858">
        <w:rPr>
          <w:rFonts w:ascii="Times New Roman" w:eastAsia="Times New Roman" w:hAnsi="Times New Roman" w:cs="Arial"/>
          <w:b/>
          <w:sz w:val="28"/>
        </w:rPr>
        <w:t>міжнародне</w:t>
      </w:r>
      <w:proofErr w:type="spellEnd"/>
      <w:r w:rsidRPr="005C4858">
        <w:rPr>
          <w:rFonts w:ascii="Times New Roman" w:eastAsia="Times New Roman" w:hAnsi="Times New Roman" w:cs="Arial"/>
          <w:b/>
          <w:sz w:val="28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8"/>
        </w:rPr>
        <w:t>територіальне</w:t>
      </w:r>
      <w:proofErr w:type="spellEnd"/>
      <w:r w:rsidRPr="005C4858">
        <w:rPr>
          <w:rFonts w:ascii="Times New Roman" w:eastAsia="Times New Roman" w:hAnsi="Times New Roman" w:cs="Arial"/>
          <w:b/>
          <w:sz w:val="28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8"/>
        </w:rPr>
        <w:t>співробітництво</w:t>
      </w:r>
      <w:proofErr w:type="spellEnd"/>
    </w:p>
    <w:p w14:paraId="6E4CDE6B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Рогатинською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міською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радою (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Україна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)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Примарією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села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Сірець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(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Республіка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Молдова)</w:t>
      </w:r>
    </w:p>
    <w:p w14:paraId="15FD9A65" w14:textId="77777777" w:rsidR="005C4858" w:rsidRPr="005C4858" w:rsidRDefault="005C4858" w:rsidP="005C4858">
      <w:pPr>
        <w:spacing w:after="200" w:line="276" w:lineRule="auto"/>
        <w:rPr>
          <w:rFonts w:ascii="Times New Roman" w:eastAsia="Times New Roman" w:hAnsi="Times New Roman" w:cs="Arial"/>
          <w:sz w:val="24"/>
        </w:rPr>
      </w:pPr>
    </w:p>
    <w:p w14:paraId="3D18E15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Рогатинська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міська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рада,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Україна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Примарія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села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Сірець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район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Страшень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Республіка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Молдова, разом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іменовані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надалі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– «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»,</w:t>
      </w:r>
    </w:p>
    <w:p w14:paraId="7E89BFD6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керуючись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положеннями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Європейської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рамкової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конвенції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транскордонне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общинами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властями,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ухваленої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Радою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Європи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21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травня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1980 року у м. Мадрид, 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також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Додаткових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протоколів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неї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</w:p>
    <w:p w14:paraId="059170E7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ґрунтуючись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зацікавленості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поглибленні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зміцненні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розширенні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Сторонами;</w:t>
      </w:r>
    </w:p>
    <w:p w14:paraId="37A500A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виключаючи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будь-яке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втручання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внутрішні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справи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дотримуючись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людини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основоположних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свобод; </w:t>
      </w:r>
    </w:p>
    <w:p w14:paraId="501692A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керуючись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принципами верховенства права, доброго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врядування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добровільності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рівноправності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прозорості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відкритості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взаємовигідного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партнерства,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відповідальності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його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результати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;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уклали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Угоду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:</w:t>
      </w:r>
    </w:p>
    <w:p w14:paraId="0D05134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1. Предмет та </w:t>
      </w:r>
      <w:proofErr w:type="gramStart"/>
      <w:r w:rsidRPr="005C4858">
        <w:rPr>
          <w:rFonts w:ascii="Times New Roman" w:eastAsia="Times New Roman" w:hAnsi="Times New Roman" w:cs="Arial"/>
          <w:b/>
          <w:sz w:val="24"/>
        </w:rPr>
        <w:t>мета</w:t>
      </w:r>
      <w:proofErr w:type="gramEnd"/>
      <w:r w:rsidRPr="005C4858">
        <w:rPr>
          <w:rFonts w:ascii="Times New Roman" w:eastAsia="Times New Roman" w:hAnsi="Times New Roman" w:cs="Arial"/>
          <w:b/>
          <w:sz w:val="24"/>
        </w:rPr>
        <w:t xml:space="preserve"> Угоди</w:t>
      </w:r>
    </w:p>
    <w:p w14:paraId="16C1088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1.1. Предметом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є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встановлення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розвиток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у межах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повноважень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0671AB7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1.2. Метою Угоди є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створення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організаційних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умов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спрямованих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сталий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розвиток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r w:rsidRPr="005C4858">
        <w:rPr>
          <w:rFonts w:ascii="Times New Roman" w:eastAsia="Times New Roman" w:hAnsi="Times New Roman" w:cs="Arial"/>
          <w:sz w:val="24"/>
          <w:lang w:val="uk-UA"/>
        </w:rPr>
        <w:t xml:space="preserve">територіальних </w:t>
      </w:r>
      <w:r w:rsidRPr="005C4858">
        <w:rPr>
          <w:rFonts w:ascii="Times New Roman" w:eastAsia="Times New Roman" w:hAnsi="Times New Roman" w:cs="Arial"/>
          <w:sz w:val="24"/>
        </w:rPr>
        <w:t xml:space="preserve">громад,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підвищення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послуг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розвиток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людського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капіталу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місцевої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економіки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51CBCE72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2.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Напрями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співробітництва</w:t>
      </w:r>
      <w:proofErr w:type="spellEnd"/>
    </w:p>
    <w:p w14:paraId="12BBB99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2.1.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здійснюватися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таких сферах:</w:t>
      </w:r>
    </w:p>
    <w:p w14:paraId="46CAB476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культура,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мистецтво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охорона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популяризація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культурної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спадщини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6979E2F7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освіта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молодіжна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політика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спорт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освітні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обміни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учнів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студентів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фахівців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0404FE3E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охорона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довкілля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кліматичні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ініціативи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енергоефективність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4E9A4233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  <w:lang w:val="en-US"/>
        </w:rPr>
      </w:pPr>
      <w:proofErr w:type="spellStart"/>
      <w:r w:rsidRPr="005C4858">
        <w:rPr>
          <w:rFonts w:ascii="Times New Roman" w:eastAsia="Times New Roman" w:hAnsi="Times New Roman" w:cs="Arial"/>
          <w:sz w:val="24"/>
          <w:lang w:val="en-US"/>
        </w:rPr>
        <w:t>туризм</w:t>
      </w:r>
      <w:proofErr w:type="spellEnd"/>
      <w:r w:rsidRPr="005C4858">
        <w:rPr>
          <w:rFonts w:ascii="Times New Roman" w:eastAsia="Times New Roman" w:hAnsi="Times New Roman" w:cs="Arial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  <w:lang w:val="en-US"/>
        </w:rPr>
        <w:t>та</w:t>
      </w:r>
      <w:proofErr w:type="spellEnd"/>
      <w:r w:rsidRPr="005C4858">
        <w:rPr>
          <w:rFonts w:ascii="Times New Roman" w:eastAsia="Times New Roman" w:hAnsi="Times New Roman" w:cs="Arial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  <w:lang w:val="en-US"/>
        </w:rPr>
        <w:t>промоція</w:t>
      </w:r>
      <w:proofErr w:type="spellEnd"/>
      <w:r w:rsidRPr="005C4858">
        <w:rPr>
          <w:rFonts w:ascii="Times New Roman" w:eastAsia="Times New Roman" w:hAnsi="Times New Roman" w:cs="Arial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  <w:lang w:val="en-US"/>
        </w:rPr>
        <w:t>територій</w:t>
      </w:r>
      <w:proofErr w:type="spellEnd"/>
      <w:r w:rsidRPr="005C4858">
        <w:rPr>
          <w:rFonts w:ascii="Times New Roman" w:eastAsia="Times New Roman" w:hAnsi="Times New Roman" w:cs="Arial"/>
          <w:sz w:val="24"/>
          <w:lang w:val="en-US"/>
        </w:rPr>
        <w:t>;</w:t>
      </w:r>
    </w:p>
    <w:p w14:paraId="0EEA88C7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місцевий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економічний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розвиток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підприємництво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залучення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інвестицій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обмін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кращими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практиками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управління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568E037F" w14:textId="77777777" w:rsidR="005C4858" w:rsidRPr="005C4858" w:rsidRDefault="005C4858" w:rsidP="005C4858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підготовка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gramStart"/>
      <w:r w:rsidRPr="005C4858">
        <w:rPr>
          <w:rFonts w:ascii="Times New Roman" w:eastAsia="Times New Roman" w:hAnsi="Times New Roman" w:cs="Arial"/>
          <w:sz w:val="24"/>
        </w:rPr>
        <w:t>у межах</w:t>
      </w:r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програм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грантових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інструментів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21290AB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2.2.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здійснювати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також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сферах,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становитимуть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інтерес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згодою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в межах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повноважень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урахуванням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принципу партнерства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згоди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E8DA1D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lastRenderedPageBreak/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3.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Форми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механізми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співробітництва</w:t>
      </w:r>
      <w:proofErr w:type="spellEnd"/>
    </w:p>
    <w:p w14:paraId="5A86A340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3.1.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здійснюватися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шляхом:</w:t>
      </w:r>
    </w:p>
    <w:p w14:paraId="7A31A889" w14:textId="77777777" w:rsidR="005C4858" w:rsidRPr="005C4858" w:rsidRDefault="005C4858" w:rsidP="005C4858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обміну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інформацією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статистичними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даними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методичними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матеріалами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експертною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підтримкою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5E1B8B40" w14:textId="77777777" w:rsidR="005C4858" w:rsidRPr="005C4858" w:rsidRDefault="005C4858" w:rsidP="005C4858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організації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заходів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візитів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робочих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зустрічей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навчань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консультацій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61B9FD46" w14:textId="77777777" w:rsidR="005C4858" w:rsidRPr="005C4858" w:rsidRDefault="005C4858" w:rsidP="005C4858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розроблення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програм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планів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ініціатив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;</w:t>
      </w:r>
    </w:p>
    <w:p w14:paraId="37365D44" w14:textId="77777777" w:rsidR="005C4858" w:rsidRPr="005C4858" w:rsidRDefault="005C4858" w:rsidP="005C4858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sz w:val="24"/>
        </w:rPr>
        <w:t>створення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робочих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груп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(за потреби)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підготовки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супроводу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BA4D6B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3.2.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Конкретні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заходи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результати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деталізуватися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річних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планах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протоколах/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програмах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суперечать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Угоді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DCD07B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3.3.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рамках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відповідно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чинного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в межах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компетенції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суб'єктів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учасників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визначеного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національним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законодавством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7DAEA36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3.4.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завчасно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інформують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одна одну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національному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вплинути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2FC01DD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4.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Правові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фінансові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засади</w:t>
      </w:r>
    </w:p>
    <w:p w14:paraId="784545D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4.1.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Правовідносини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виникатимуть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зв’язку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регулюються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нормами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14949A8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4.2.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Усі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правовідносини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виникають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зв’язку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виконанням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і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врегульовані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нею,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регулюються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нормами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23F7FB3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4.3.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Угода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створює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фінансових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зобов’язань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Фінансування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заходів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лише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підставі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рішень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договорів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щодо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кожного конкретного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проєкту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також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забезпечуватися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рахунок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технічної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допомоги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грантів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джерел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заборонених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законом.</w:t>
      </w:r>
    </w:p>
    <w:p w14:paraId="7B6E2BB9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4.4.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вживають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необхідних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заходів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залучення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доступних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фінансових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інструментів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метою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ініціатив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4C904CD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5.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Координація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планування</w:t>
      </w:r>
      <w:proofErr w:type="spellEnd"/>
    </w:p>
    <w:p w14:paraId="56E1D9C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5.1. Для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забезпечення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виконання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призначають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контактних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осіб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відповідальні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підрозділи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16DA906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5.2.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 потреби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розробляють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узгоджують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щорічні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плани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відповідно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56FA285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5.3.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Контактні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дані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повідомляються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(листом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електронним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повідомленням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) без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внесення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gramStart"/>
      <w:r w:rsidRPr="005C4858">
        <w:rPr>
          <w:rFonts w:ascii="Times New Roman" w:eastAsia="Times New Roman" w:hAnsi="Times New Roman" w:cs="Arial"/>
          <w:sz w:val="24"/>
        </w:rPr>
        <w:t>до тексту</w:t>
      </w:r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55E97CC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6.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Обмін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інформацією</w:t>
      </w:r>
      <w:proofErr w:type="spellEnd"/>
    </w:p>
    <w:p w14:paraId="796581F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6.1.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здійснюють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обмін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інформацією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досвідом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gramStart"/>
      <w:r w:rsidRPr="005C4858">
        <w:rPr>
          <w:rFonts w:ascii="Times New Roman" w:eastAsia="Times New Roman" w:hAnsi="Times New Roman" w:cs="Arial"/>
          <w:sz w:val="24"/>
        </w:rPr>
        <w:t>у сферах</w:t>
      </w:r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визначених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Угодою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також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питань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становлять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для них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інтерес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дотриманням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вимог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захист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персональних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даних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інформації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обмеженим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доступом.</w:t>
      </w:r>
    </w:p>
    <w:p w14:paraId="4638A59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7.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Оцінка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прогресу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додаткові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домовленості</w:t>
      </w:r>
      <w:proofErr w:type="spellEnd"/>
    </w:p>
    <w:p w14:paraId="06368F0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7.1.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проводять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можливості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щорічні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зустрічі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консультації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метою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оцінки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прогресу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виконання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7619668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7.2. З метою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реалізації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можуть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укладати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окремі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протоколи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документи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у тому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числі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щодо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утворення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приєднання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органів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міжнародного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територіального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співробітництва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з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урахуванням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національного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законодавства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держав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477EBC8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8.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Вирішення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спорів</w:t>
      </w:r>
      <w:proofErr w:type="spellEnd"/>
    </w:p>
    <w:p w14:paraId="64137A81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8.1.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Розбіжності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щодо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тлумачення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або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застосування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положень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вирішуються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шляхом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проведення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переговорів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консультацій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між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Сторонами.</w:t>
      </w:r>
    </w:p>
    <w:p w14:paraId="5A4FA38B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lastRenderedPageBreak/>
        <w:t>Стаття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9. Строк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дії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зміни</w:t>
      </w:r>
      <w:proofErr w:type="spellEnd"/>
      <w:r w:rsidRPr="005C4858">
        <w:rPr>
          <w:rFonts w:ascii="Times New Roman" w:eastAsia="Times New Roman" w:hAnsi="Times New Roman" w:cs="Arial"/>
          <w:b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b/>
          <w:sz w:val="24"/>
        </w:rPr>
        <w:t>припинення</w:t>
      </w:r>
      <w:proofErr w:type="spellEnd"/>
    </w:p>
    <w:p w14:paraId="3C41EEE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9.1.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набирає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чинності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 дня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підписання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діє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протягом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>5 (</w:t>
      </w:r>
      <w:proofErr w:type="spellStart"/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>п’яти</w:t>
      </w:r>
      <w:proofErr w:type="spellEnd"/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 xml:space="preserve">) </w:t>
      </w:r>
      <w:proofErr w:type="spellStart"/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>років</w:t>
      </w:r>
      <w:proofErr w:type="spellEnd"/>
      <w:r w:rsidRPr="005C4858">
        <w:rPr>
          <w:rFonts w:ascii="Times New Roman" w:eastAsia="Times New Roman" w:hAnsi="Times New Roman" w:cs="Arial"/>
          <w:bCs/>
          <w:color w:val="000000"/>
          <w:sz w:val="24"/>
        </w:rPr>
        <w:t>.</w:t>
      </w:r>
    </w:p>
    <w:p w14:paraId="4877D55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9.2.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разі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строк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закінчується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жодна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повідомила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іншу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свої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наміри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припинити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Угоди, строк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автоматично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продовжується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наступний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5-річний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період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38410D67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9.3.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достроково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припиняється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через три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місяці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після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отримання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однією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письмового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повідомлення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від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іншої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її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наміри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припинити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32AC003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9.4.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Припинення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дії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впливає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виконання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Сторонами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незавершених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домовленостей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Сторони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не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домовились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про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інше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0B91D32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9.5.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доповнення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до </w:t>
      </w:r>
      <w:proofErr w:type="spellStart"/>
      <w:proofErr w:type="gram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 Угоди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вносяться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лише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за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взаємною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письмовою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згодою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Сторін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оформлюються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додатковими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угодами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які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є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невід’ємною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частиною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Внесення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змін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та/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чи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доповнень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здійснюється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gramStart"/>
      <w:r w:rsidRPr="005C4858">
        <w:rPr>
          <w:rFonts w:ascii="Times New Roman" w:eastAsia="Times New Roman" w:hAnsi="Times New Roman" w:cs="Arial"/>
          <w:sz w:val="24"/>
        </w:rPr>
        <w:t>у тому ж порядку</w:t>
      </w:r>
      <w:proofErr w:type="gram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що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і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укладення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цієї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Угоди.</w:t>
      </w:r>
    </w:p>
    <w:p w14:paraId="745DE1A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4"/>
        </w:rPr>
      </w:pPr>
      <w:r w:rsidRPr="005C4858">
        <w:rPr>
          <w:rFonts w:ascii="Times New Roman" w:eastAsia="Times New Roman" w:hAnsi="Times New Roman" w:cs="Arial"/>
          <w:sz w:val="24"/>
        </w:rPr>
        <w:t xml:space="preserve">Вчинено в _________ «____» </w:t>
      </w:r>
      <w:r w:rsidRPr="005C4858">
        <w:rPr>
          <w:rFonts w:ascii="Times New Roman" w:eastAsia="Times New Roman" w:hAnsi="Times New Roman" w:cs="Arial"/>
          <w:sz w:val="24"/>
          <w:lang w:val="uk-UA"/>
        </w:rPr>
        <w:t>________</w:t>
      </w:r>
      <w:r w:rsidRPr="005C4858">
        <w:rPr>
          <w:rFonts w:ascii="Times New Roman" w:eastAsia="Times New Roman" w:hAnsi="Times New Roman" w:cs="Arial"/>
          <w:sz w:val="24"/>
        </w:rPr>
        <w:t xml:space="preserve"> 2026 року у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двох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примірниках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,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кожний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українською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та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румунською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 xml:space="preserve"> </w:t>
      </w:r>
      <w:proofErr w:type="spellStart"/>
      <w:r w:rsidRPr="005C4858">
        <w:rPr>
          <w:rFonts w:ascii="Times New Roman" w:eastAsia="Times New Roman" w:hAnsi="Times New Roman" w:cs="Arial"/>
          <w:sz w:val="24"/>
        </w:rPr>
        <w:t>мовами</w:t>
      </w:r>
      <w:proofErr w:type="spellEnd"/>
      <w:r w:rsidRPr="005C4858">
        <w:rPr>
          <w:rFonts w:ascii="Times New Roman" w:eastAsia="Times New Roman" w:hAnsi="Times New Roman" w:cs="Arial"/>
          <w:sz w:val="24"/>
        </w:rPr>
        <w:t>.</w:t>
      </w:r>
    </w:p>
    <w:p w14:paraId="50A6616A" w14:textId="77777777" w:rsidR="005C4858" w:rsidRPr="005C4858" w:rsidRDefault="005C4858" w:rsidP="005C4858">
      <w:pPr>
        <w:spacing w:after="200" w:line="276" w:lineRule="auto"/>
        <w:rPr>
          <w:rFonts w:ascii="Times New Roman" w:eastAsia="Times New Roman" w:hAnsi="Times New Roman" w:cs="Arial"/>
          <w:sz w:val="24"/>
          <w:lang w:val="uk-UA"/>
        </w:rPr>
      </w:pPr>
    </w:p>
    <w:p w14:paraId="19F3FDB2" w14:textId="77777777" w:rsidR="005C4858" w:rsidRPr="005C4858" w:rsidRDefault="005C4858" w:rsidP="005C4858">
      <w:pPr>
        <w:spacing w:after="200" w:line="276" w:lineRule="auto"/>
        <w:rPr>
          <w:rFonts w:ascii="Times New Roman" w:eastAsia="Times New Roman" w:hAnsi="Times New Roman" w:cs="Arial"/>
          <w:sz w:val="24"/>
          <w:lang w:val="en-US"/>
        </w:rPr>
      </w:pPr>
      <w:r w:rsidRPr="005C4858">
        <w:rPr>
          <w:rFonts w:ascii="Times New Roman" w:eastAsia="Times New Roman" w:hAnsi="Times New Roman" w:cs="Arial"/>
          <w:b/>
          <w:sz w:val="24"/>
          <w:lang w:val="en-US"/>
        </w:rPr>
        <w:t>ПІДПИСИ СТОРІН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4858" w:rsidRPr="005C4858" w14:paraId="6263CE19" w14:textId="77777777" w:rsidTr="00655DEE">
        <w:tc>
          <w:tcPr>
            <w:tcW w:w="4320" w:type="dxa"/>
          </w:tcPr>
          <w:p w14:paraId="40585581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Times New Roman" w:hAnsi="Times New Roman" w:cs="Arial"/>
                <w:sz w:val="24"/>
              </w:rPr>
            </w:pP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Рогатинська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міська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рада</w:t>
            </w:r>
          </w:p>
        </w:tc>
        <w:tc>
          <w:tcPr>
            <w:tcW w:w="4320" w:type="dxa"/>
          </w:tcPr>
          <w:p w14:paraId="17D5066A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Times New Roman" w:hAnsi="Times New Roman" w:cs="Arial"/>
                <w:sz w:val="24"/>
              </w:rPr>
            </w:pP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Примарія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Сірець</w:t>
            </w:r>
            <w:proofErr w:type="spellEnd"/>
          </w:p>
        </w:tc>
      </w:tr>
      <w:tr w:rsidR="005C4858" w:rsidRPr="005C4858" w14:paraId="492F3AE5" w14:textId="77777777" w:rsidTr="00655DEE">
        <w:tc>
          <w:tcPr>
            <w:tcW w:w="4320" w:type="dxa"/>
          </w:tcPr>
          <w:p w14:paraId="29E67AC3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Times New Roman" w:hAnsi="Times New Roman" w:cs="Arial"/>
                <w:sz w:val="24"/>
              </w:rPr>
            </w:pPr>
            <w:r w:rsidRPr="005C4858">
              <w:rPr>
                <w:rFonts w:ascii="Times New Roman" w:eastAsia="Times New Roman" w:hAnsi="Times New Roman" w:cs="Arial"/>
                <w:sz w:val="24"/>
              </w:rPr>
              <w:t>_____________________________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Міський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голова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Сергій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Насалик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br/>
              <w:t>М.П.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  <w:t>Дата: __</w:t>
            </w:r>
            <w:proofErr w:type="gramStart"/>
            <w:r w:rsidRPr="005C4858">
              <w:rPr>
                <w:rFonts w:ascii="Times New Roman" w:eastAsia="Times New Roman" w:hAnsi="Times New Roman" w:cs="Arial"/>
                <w:sz w:val="24"/>
              </w:rPr>
              <w:t>_.</w:t>
            </w:r>
            <w:r w:rsidRPr="005C4858">
              <w:rPr>
                <w:rFonts w:ascii="Times New Roman" w:eastAsia="Times New Roman" w:hAnsi="Times New Roman" w:cs="Arial"/>
                <w:sz w:val="24"/>
                <w:lang w:val="uk-UA"/>
              </w:rPr>
              <w:t>_</w:t>
            </w:r>
            <w:proofErr w:type="gramEnd"/>
            <w:r w:rsidRPr="005C4858">
              <w:rPr>
                <w:rFonts w:ascii="Times New Roman" w:eastAsia="Times New Roman" w:hAnsi="Times New Roman" w:cs="Arial"/>
                <w:sz w:val="24"/>
                <w:lang w:val="uk-UA"/>
              </w:rPr>
              <w:t>_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t>_________.2026</w:t>
            </w:r>
          </w:p>
        </w:tc>
        <w:tc>
          <w:tcPr>
            <w:tcW w:w="4320" w:type="dxa"/>
          </w:tcPr>
          <w:p w14:paraId="0A0050FA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Times New Roman" w:hAnsi="Times New Roman" w:cs="Arial"/>
                <w:sz w:val="24"/>
              </w:rPr>
            </w:pPr>
            <w:r w:rsidRPr="005C4858">
              <w:rPr>
                <w:rFonts w:ascii="Times New Roman" w:eastAsia="Times New Roman" w:hAnsi="Times New Roman" w:cs="Arial"/>
                <w:sz w:val="24"/>
              </w:rPr>
              <w:t>_____________________________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Примар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br/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Леонід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proofErr w:type="spellStart"/>
            <w:r w:rsidRPr="005C4858">
              <w:rPr>
                <w:rFonts w:ascii="Times New Roman" w:eastAsia="Times New Roman" w:hAnsi="Times New Roman" w:cs="Arial"/>
                <w:sz w:val="24"/>
              </w:rPr>
              <w:t>Боагі</w:t>
            </w:r>
            <w:proofErr w:type="spellEnd"/>
            <w:r w:rsidRPr="005C4858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  <w:t>М.П.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br/>
              <w:t>Дата: __</w:t>
            </w:r>
            <w:proofErr w:type="gramStart"/>
            <w:r w:rsidRPr="005C4858">
              <w:rPr>
                <w:rFonts w:ascii="Times New Roman" w:eastAsia="Times New Roman" w:hAnsi="Times New Roman" w:cs="Arial"/>
                <w:sz w:val="24"/>
              </w:rPr>
              <w:t>_.</w:t>
            </w:r>
            <w:r w:rsidRPr="005C4858">
              <w:rPr>
                <w:rFonts w:ascii="Times New Roman" w:eastAsia="Times New Roman" w:hAnsi="Times New Roman" w:cs="Arial"/>
                <w:sz w:val="24"/>
                <w:lang w:val="uk-UA"/>
              </w:rPr>
              <w:t>_</w:t>
            </w:r>
            <w:proofErr w:type="gramEnd"/>
            <w:r w:rsidRPr="005C4858">
              <w:rPr>
                <w:rFonts w:ascii="Times New Roman" w:eastAsia="Times New Roman" w:hAnsi="Times New Roman" w:cs="Arial"/>
                <w:sz w:val="24"/>
                <w:lang w:val="uk-UA"/>
              </w:rPr>
              <w:t>_</w:t>
            </w:r>
            <w:r w:rsidRPr="005C4858">
              <w:rPr>
                <w:rFonts w:ascii="Times New Roman" w:eastAsia="Times New Roman" w:hAnsi="Times New Roman" w:cs="Arial"/>
                <w:sz w:val="24"/>
              </w:rPr>
              <w:t>_________.2026</w:t>
            </w:r>
          </w:p>
        </w:tc>
      </w:tr>
    </w:tbl>
    <w:p w14:paraId="33F3463F" w14:textId="77777777" w:rsidR="005C4858" w:rsidRPr="005C4858" w:rsidRDefault="005C4858" w:rsidP="005C4858">
      <w:pPr>
        <w:spacing w:after="200" w:line="276" w:lineRule="auto"/>
        <w:rPr>
          <w:rFonts w:ascii="Times New Roman" w:eastAsia="Times New Roman" w:hAnsi="Times New Roman" w:cs="Arial"/>
          <w:sz w:val="24"/>
        </w:rPr>
      </w:pPr>
    </w:p>
    <w:p w14:paraId="716CEBEC" w14:textId="33A1F62D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76DF702" w14:textId="00A9FFB1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C2D55D" w14:textId="117FFCC6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10E871" w14:textId="01B23B91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DA3D2F6" w14:textId="00E1046F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373D15E" w14:textId="1D33E216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A752A40" w14:textId="2BE2C54C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B7CB9A" w14:textId="670AA85D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EE9D453" w14:textId="0B833425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742790" w14:textId="5A1E9B06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2E1B9B" w14:textId="7AE5EEC2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205866E" w14:textId="090310D7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9CAA4" w14:textId="6DCFDACE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A09F9E2" w14:textId="4BC4466A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CE3F40" w14:textId="5A5D65EC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C1BE93F" w14:textId="65CFFFE9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799684E" w14:textId="5343704C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D37E61B" w14:textId="44837320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E459E3" w14:textId="305902FA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D3FC6C" w14:textId="1C87B6A5" w:rsidR="005C4858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C4858" w:rsidRPr="005C4858" w14:paraId="21C55389" w14:textId="77777777" w:rsidTr="00655DEE">
        <w:trPr>
          <w:trHeight w:val="3014"/>
        </w:trPr>
        <w:tc>
          <w:tcPr>
            <w:tcW w:w="4428" w:type="dxa"/>
          </w:tcPr>
          <w:p w14:paraId="6DFF53DE" w14:textId="77777777" w:rsidR="005C4858" w:rsidRPr="005C4858" w:rsidRDefault="005C4858" w:rsidP="005C48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5C485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lastRenderedPageBreak/>
              <w:drawing>
                <wp:inline distT="0" distB="0" distL="0" distR="0" wp14:anchorId="2EE11E42" wp14:editId="0D52A072">
                  <wp:extent cx="1157933" cy="1491690"/>
                  <wp:effectExtent l="0" t="0" r="4445" b="0"/>
                  <wp:docPr id="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71" cy="1507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77415E23" w14:textId="77777777" w:rsidR="005C4858" w:rsidRPr="005C4858" w:rsidRDefault="005C4858" w:rsidP="005C48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5C4858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inline distT="114300" distB="114300" distL="114300" distR="114300" wp14:anchorId="35E2006B" wp14:editId="3A36DBE4">
                  <wp:extent cx="1757045" cy="1552575"/>
                  <wp:effectExtent l="0" t="0" r="0" b="9525"/>
                  <wp:docPr id="1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t="13991" b="16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33" cy="1553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27B20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b/>
          <w:sz w:val="32"/>
          <w:lang w:val="en-US"/>
        </w:rPr>
        <w:t>ACORD</w:t>
      </w:r>
    </w:p>
    <w:p w14:paraId="07DA31A0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>teritorială</w:t>
      </w:r>
      <w:proofErr w:type="spellEnd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8"/>
          <w:lang w:val="en-US"/>
        </w:rPr>
        <w:t>internațională</w:t>
      </w:r>
      <w:proofErr w:type="spellEnd"/>
    </w:p>
    <w:p w14:paraId="58AE870A" w14:textId="77777777" w:rsidR="005C4858" w:rsidRPr="005C4858" w:rsidRDefault="005C4858" w:rsidP="005C4858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Consiliul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Orășenesc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Rohatyn (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Ucraina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)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Primăria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satului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Sireți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(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Republica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Moldova)</w:t>
      </w:r>
    </w:p>
    <w:p w14:paraId="3A7F6226" w14:textId="77777777" w:rsidR="005C4858" w:rsidRPr="005C4858" w:rsidRDefault="005C4858" w:rsidP="005C4858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43E52BA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Consiliul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Orășenesc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Rohatyn,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Ucraina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Primăria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Sireți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raionul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Strășeni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Republica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Moldova,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denumite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continuare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împreună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– «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»,</w:t>
      </w:r>
    </w:p>
    <w:p w14:paraId="49C7F24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având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vedere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Convenției-cadru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europene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transfrontalieră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colectivitățile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autoritățile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adoptată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Consiliul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Europei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21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mai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1980, la Madrid, precum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Protocoalele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adiționale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aceasta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,</w:t>
      </w:r>
    </w:p>
    <w:p w14:paraId="16A603A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bazându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-se pe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interesul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aprofundarea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consolidarea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extinderea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79E7F00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excluzând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ingerință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afacerile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interne ale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respectând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drepturile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omului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libertățile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fundamentale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51F0BAEC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ghidându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-se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principiile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drept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bunei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guvernări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voluntarității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egalității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drepturi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transparenței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deschiderii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parteneriatului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avantajoase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precum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ale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responsabilității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rezultatele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acestora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; au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încheiat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după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cum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urmează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:</w:t>
      </w:r>
    </w:p>
    <w:p w14:paraId="1B3FE35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1.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Obiectul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scopul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Acordului</w:t>
      </w:r>
      <w:proofErr w:type="spellEnd"/>
    </w:p>
    <w:p w14:paraId="7D01B19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1.1.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Obiectul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este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stabilirea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dezvoltarea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limitele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competențelor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lor.</w:t>
      </w:r>
    </w:p>
    <w:p w14:paraId="4506A2A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1.2.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Scopul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Acordului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este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crearea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condițiilor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organizaționale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acțiuni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orientate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spre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dezvoltarea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durabilă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comunităților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îmbunătățirea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calității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serviciilor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dezvoltarea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capitalului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uman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economiei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locale.</w:t>
      </w:r>
    </w:p>
    <w:p w14:paraId="2A9BC94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2.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Domeniile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cooperare</w:t>
      </w:r>
      <w:proofErr w:type="spellEnd"/>
    </w:p>
    <w:p w14:paraId="35864B8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2.1.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fi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realizată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următoarele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domenii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:</w:t>
      </w:r>
    </w:p>
    <w:p w14:paraId="7C0BD7CC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cultură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artă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protecția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promovarea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patrimoniului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cultural;</w:t>
      </w:r>
    </w:p>
    <w:p w14:paraId="6D62ACEF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educație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politici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tineret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sport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schimburi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educaționale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elevi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studenți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specialiști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7D914887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protecția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mediului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inițiative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climatice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eficiență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energetică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49985F0D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turism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promovarea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758340DF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dezvoltare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economică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locală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antreprenoriat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atragerea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investițiilor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schimb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bune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practici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management;</w:t>
      </w:r>
    </w:p>
    <w:p w14:paraId="475CB255" w14:textId="77777777" w:rsidR="005C4858" w:rsidRPr="005C4858" w:rsidRDefault="005C4858" w:rsidP="005C4858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pregătirea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cadrul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programelor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al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instrumentelor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granturi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4A32428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2.2.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pot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domenii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interes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acord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limitele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competențelor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ținând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principiul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parteneriatului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al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consimțământului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052EA16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lastRenderedPageBreak/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3.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Forme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mecanisme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cooperare</w:t>
      </w:r>
      <w:proofErr w:type="spellEnd"/>
    </w:p>
    <w:p w14:paraId="68F322B7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3.1.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fi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realizată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:</w:t>
      </w:r>
    </w:p>
    <w:p w14:paraId="5287C40F" w14:textId="77777777" w:rsidR="005C4858" w:rsidRPr="005C4858" w:rsidRDefault="005C4858" w:rsidP="005C4858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schimb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informații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date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statistice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materiale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metodologice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sprijin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expertiză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3D795DC6" w14:textId="77777777" w:rsidR="005C4858" w:rsidRPr="005C4858" w:rsidRDefault="005C4858" w:rsidP="005C4858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organizarea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evenimente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vizite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întâlniri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lucru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instruiri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consultări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740F451A" w14:textId="77777777" w:rsidR="005C4858" w:rsidRPr="005C4858" w:rsidRDefault="005C4858" w:rsidP="005C4858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elaborarea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programe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planuri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acțiune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inițiative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;</w:t>
      </w:r>
    </w:p>
    <w:p w14:paraId="08DADDED" w14:textId="77777777" w:rsidR="005C4858" w:rsidRPr="005C4858" w:rsidRDefault="005C4858" w:rsidP="005C4858">
      <w:pPr>
        <w:numPr>
          <w:ilvl w:val="0"/>
          <w:numId w:val="16"/>
        </w:numPr>
        <w:spacing w:after="0" w:line="276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crearea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grupuri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lucru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(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după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necesitate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)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pregătirea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însoțirea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4F807AB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3.2.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Măsurile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concrete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rezultatele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pot fi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detaliate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planuri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anuale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protocoale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programe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separate, care nu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contravin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0EF1232A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3.3.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desfășoară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cadrul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conformitate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vigoare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limitele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competențelor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subiecților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participanților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stabilite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53DEC3D2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3.4.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timp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util,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despre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pot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influența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240B26A8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4.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Baze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juridice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financiare</w:t>
      </w:r>
      <w:proofErr w:type="spellEnd"/>
    </w:p>
    <w:p w14:paraId="5AD6CCE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4.1.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Raporturile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juridice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apărea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legătură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reglementate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normele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D808E6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4.2.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Toate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raporturile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juridice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apar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legătură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executarea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nu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reglementate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acesta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reglementate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normele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47E37A8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4.3.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nu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creează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obligații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financiare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Finanțarea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anumitor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activități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realizează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numai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baza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unor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decizii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separate ale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unor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contracte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separate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fiecare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proiect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concret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fi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asigurată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asemenea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din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asistență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tehnică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granturi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surse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nu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interzise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CE16689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4.4.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măsurile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necesare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atrage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instrumentele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financiare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disponibile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vederea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realizării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inițiativelor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6E27848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5.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Coordonare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planificare</w:t>
      </w:r>
      <w:proofErr w:type="spellEnd"/>
    </w:p>
    <w:p w14:paraId="7D138169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5.1.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asigurarea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executării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desemnează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persoane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contact/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subdiviziuni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responsabile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05881AB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5.2.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după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necesitate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elaborează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coordonează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planuri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anuale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conformitate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0E7365F3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5.3.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Datele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contact ale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acestora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sunt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comunicate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celeilalte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(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scrisoare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mesaj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electronic),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fără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textul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7C1AD33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6.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Schimbul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informații</w:t>
      </w:r>
      <w:proofErr w:type="spellEnd"/>
    </w:p>
    <w:p w14:paraId="2C270C07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6.1.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fac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schimb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informații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experiență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domeniile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prevăzute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Acord, precum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chestiuni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interes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respectând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cerințele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protecția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caracter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personal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informațiilor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acces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restricționat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10530F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7.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Evaluarea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progresului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înțelegeri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suplimentare</w:t>
      </w:r>
      <w:proofErr w:type="spellEnd"/>
    </w:p>
    <w:p w14:paraId="6F359946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7.1.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organizează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pe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cât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posibil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întâlniri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consultări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anuale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evalua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progresul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76460F55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7.2.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vederea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implementării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pot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încheia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acorduri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separate,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protocoale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documente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inclusiv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constituirea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aderarea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organisme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cooperare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teritorială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internațională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respectarea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legislației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naționale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statelor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78C72849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8.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Soluționarea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litigiilor</w:t>
      </w:r>
      <w:proofErr w:type="spellEnd"/>
    </w:p>
    <w:p w14:paraId="0B6174D4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8.1.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Divergențele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interpretarea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aplicarea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prevederilor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soluționează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negocieri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consultări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34CBA9AE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Articolul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9.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Durata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modificarea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încetarea</w:t>
      </w:r>
      <w:proofErr w:type="spellEnd"/>
    </w:p>
    <w:p w14:paraId="043948B0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lastRenderedPageBreak/>
        <w:t xml:space="preserve">9.1.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vigoare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data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semnării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către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este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valabil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timp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5 (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cinci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) ani.</w:t>
      </w:r>
    </w:p>
    <w:p w14:paraId="24A63E90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9.2.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cazul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durata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expiră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niciuna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nu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informează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cealaltă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despre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intenția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înceta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durata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acestuia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prelungește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automat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pentru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următoarea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perioadă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5 </w:t>
      </w:r>
      <w:proofErr w:type="gramStart"/>
      <w:r w:rsidRPr="005C4858">
        <w:rPr>
          <w:rFonts w:ascii="Times New Roman" w:eastAsia="MS Mincho" w:hAnsi="Times New Roman" w:cs="Times New Roman"/>
          <w:sz w:val="24"/>
          <w:lang w:val="en-US"/>
        </w:rPr>
        <w:t>ani</w:t>
      </w:r>
      <w:proofErr w:type="gram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18BADDC0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9.3.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încetează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înainte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termen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trei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luni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după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primirea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către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una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dintre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unei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notificări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din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celeilalte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privind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intenția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înceta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53D9D482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9.4.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Încetarea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nu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afectează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executarea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de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către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înțelegerilor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nefinalizate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cu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excepția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cazului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care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convin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altfel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66BA5D2F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9.5.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completările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 se fac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numai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acordul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scris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reciproc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al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Părților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formalizează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prin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adiționale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care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constituie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parte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integrantă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Modificările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/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sau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completările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se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efectuează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aceeași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manieră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ca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încheierea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prezentului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Acord.</w:t>
      </w:r>
    </w:p>
    <w:p w14:paraId="1695CBBD" w14:textId="77777777" w:rsidR="005C4858" w:rsidRPr="005C4858" w:rsidRDefault="005C4858" w:rsidP="005C4858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lang w:val="en-US"/>
        </w:rPr>
      </w:pP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Întocmit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la _________ «____» ________ 2026,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două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exemplare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,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fiecare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în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limbile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ucraineană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și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 xml:space="preserve"> </w:t>
      </w:r>
      <w:proofErr w:type="spellStart"/>
      <w:r w:rsidRPr="005C4858">
        <w:rPr>
          <w:rFonts w:ascii="Times New Roman" w:eastAsia="MS Mincho" w:hAnsi="Times New Roman" w:cs="Times New Roman"/>
          <w:sz w:val="24"/>
          <w:lang w:val="en-US"/>
        </w:rPr>
        <w:t>română</w:t>
      </w:r>
      <w:proofErr w:type="spellEnd"/>
      <w:r w:rsidRPr="005C4858">
        <w:rPr>
          <w:rFonts w:ascii="Times New Roman" w:eastAsia="MS Mincho" w:hAnsi="Times New Roman" w:cs="Times New Roman"/>
          <w:sz w:val="24"/>
          <w:lang w:val="en-US"/>
        </w:rPr>
        <w:t>.</w:t>
      </w:r>
    </w:p>
    <w:p w14:paraId="0BB5C836" w14:textId="77777777" w:rsidR="005C4858" w:rsidRPr="005C4858" w:rsidRDefault="005C4858" w:rsidP="005C4858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57CE7C15" w14:textId="77777777" w:rsidR="005C4858" w:rsidRPr="005C4858" w:rsidRDefault="005C4858" w:rsidP="005C4858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  <w:r w:rsidRPr="005C4858">
        <w:rPr>
          <w:rFonts w:ascii="Times New Roman" w:eastAsia="MS Mincho" w:hAnsi="Times New Roman" w:cs="Times New Roman"/>
          <w:b/>
          <w:sz w:val="24"/>
          <w:lang w:val="en-US"/>
        </w:rPr>
        <w:t>SEMNĂTURILE PĂRȚILOR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5C4858" w:rsidRPr="005C4858" w14:paraId="5FADD366" w14:textId="77777777" w:rsidTr="00655DEE">
        <w:tc>
          <w:tcPr>
            <w:tcW w:w="4320" w:type="dxa"/>
          </w:tcPr>
          <w:p w14:paraId="277B21E0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Consiliul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Orășenesc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Rohatyn</w:t>
            </w:r>
          </w:p>
        </w:tc>
        <w:tc>
          <w:tcPr>
            <w:tcW w:w="4320" w:type="dxa"/>
          </w:tcPr>
          <w:p w14:paraId="39CF4599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Primăria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satului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Sireți</w:t>
            </w:r>
            <w:proofErr w:type="spellEnd"/>
          </w:p>
        </w:tc>
      </w:tr>
      <w:tr w:rsidR="005C4858" w:rsidRPr="005C4858" w14:paraId="19B1D820" w14:textId="77777777" w:rsidTr="00655DEE">
        <w:tc>
          <w:tcPr>
            <w:tcW w:w="4320" w:type="dxa"/>
          </w:tcPr>
          <w:p w14:paraId="2A93E193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_____________________________</w:t>
            </w: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Primar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 xml:space="preserve">Serhii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Nasalyk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>L.S.</w:t>
            </w: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>Data: __</w:t>
            </w:r>
            <w:proofErr w:type="gram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_._</w:t>
            </w:r>
            <w:proofErr w:type="gram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__________.2026</w:t>
            </w:r>
          </w:p>
        </w:tc>
        <w:tc>
          <w:tcPr>
            <w:tcW w:w="4320" w:type="dxa"/>
          </w:tcPr>
          <w:p w14:paraId="06417F00" w14:textId="77777777" w:rsidR="005C4858" w:rsidRPr="005C4858" w:rsidRDefault="005C4858" w:rsidP="005C48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_____________________________</w:t>
            </w: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Primar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 xml:space="preserve">Leonid </w:t>
            </w:r>
            <w:proofErr w:type="spell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Boaghi</w:t>
            </w:r>
            <w:proofErr w:type="spell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>L.S.</w:t>
            </w:r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br/>
              <w:t>Data: __</w:t>
            </w:r>
            <w:proofErr w:type="gramStart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_._</w:t>
            </w:r>
            <w:proofErr w:type="gramEnd"/>
            <w:r w:rsidRPr="005C4858">
              <w:rPr>
                <w:rFonts w:ascii="Times New Roman" w:eastAsia="MS Mincho" w:hAnsi="Times New Roman" w:cs="Times New Roman"/>
                <w:sz w:val="24"/>
                <w:lang w:val="en-US"/>
              </w:rPr>
              <w:t>__________.2026</w:t>
            </w:r>
          </w:p>
        </w:tc>
      </w:tr>
    </w:tbl>
    <w:p w14:paraId="56BD1525" w14:textId="77777777" w:rsidR="005C4858" w:rsidRPr="005C4858" w:rsidRDefault="005C4858" w:rsidP="005C4858">
      <w:pPr>
        <w:spacing w:after="200" w:line="276" w:lineRule="auto"/>
        <w:rPr>
          <w:rFonts w:ascii="Times New Roman" w:eastAsia="MS Mincho" w:hAnsi="Times New Roman" w:cs="Times New Roman"/>
          <w:sz w:val="24"/>
          <w:lang w:val="en-US"/>
        </w:rPr>
      </w:pPr>
    </w:p>
    <w:p w14:paraId="1D7691A3" w14:textId="77777777" w:rsidR="005C4858" w:rsidRPr="00BB30D6" w:rsidRDefault="005C4858" w:rsidP="004B2E2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C4858" w:rsidRPr="00BB30D6" w:rsidSect="004B2E2C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20BC"/>
    <w:multiLevelType w:val="hybridMultilevel"/>
    <w:tmpl w:val="DC0C758A"/>
    <w:lvl w:ilvl="0" w:tplc="6694C47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214438"/>
    <w:multiLevelType w:val="hybridMultilevel"/>
    <w:tmpl w:val="A30ED91A"/>
    <w:lvl w:ilvl="0" w:tplc="6B7AC448">
      <w:start w:val="1"/>
      <w:numFmt w:val="bullet"/>
      <w:lvlText w:val="‑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70950"/>
    <w:multiLevelType w:val="multilevel"/>
    <w:tmpl w:val="C04A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734F8"/>
    <w:multiLevelType w:val="multilevel"/>
    <w:tmpl w:val="75C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71ACB"/>
    <w:multiLevelType w:val="multilevel"/>
    <w:tmpl w:val="172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63ACA"/>
    <w:multiLevelType w:val="hybridMultilevel"/>
    <w:tmpl w:val="3C90E7A6"/>
    <w:lvl w:ilvl="0" w:tplc="6B7AC448">
      <w:start w:val="1"/>
      <w:numFmt w:val="bullet"/>
      <w:lvlText w:val="‑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77E11"/>
    <w:multiLevelType w:val="hybridMultilevel"/>
    <w:tmpl w:val="3E14E2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34613"/>
    <w:multiLevelType w:val="hybridMultilevel"/>
    <w:tmpl w:val="3F9A5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D21D1"/>
    <w:multiLevelType w:val="hybridMultilevel"/>
    <w:tmpl w:val="E8EEB030"/>
    <w:lvl w:ilvl="0" w:tplc="6B7AC448">
      <w:start w:val="1"/>
      <w:numFmt w:val="bullet"/>
      <w:lvlText w:val="‑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E028FF"/>
    <w:multiLevelType w:val="hybridMultilevel"/>
    <w:tmpl w:val="2BC6981E"/>
    <w:lvl w:ilvl="0" w:tplc="6B5E5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326F8D"/>
    <w:multiLevelType w:val="hybridMultilevel"/>
    <w:tmpl w:val="025E2AC4"/>
    <w:lvl w:ilvl="0" w:tplc="25F0BCD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27043"/>
    <w:multiLevelType w:val="multilevel"/>
    <w:tmpl w:val="36C6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2568A"/>
    <w:multiLevelType w:val="hybridMultilevel"/>
    <w:tmpl w:val="4C0CC8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5969"/>
    <w:multiLevelType w:val="hybridMultilevel"/>
    <w:tmpl w:val="BCFC8E64"/>
    <w:lvl w:ilvl="0" w:tplc="6B7AC448">
      <w:start w:val="1"/>
      <w:numFmt w:val="bullet"/>
      <w:lvlText w:val="‑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920AD0"/>
    <w:multiLevelType w:val="hybridMultilevel"/>
    <w:tmpl w:val="1CE27D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21723"/>
    <w:multiLevelType w:val="hybridMultilevel"/>
    <w:tmpl w:val="B3EA89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5"/>
  </w:num>
  <w:num w:numId="8">
    <w:abstractNumId w:val="14"/>
  </w:num>
  <w:num w:numId="9">
    <w:abstractNumId w:val="6"/>
  </w:num>
  <w:num w:numId="10">
    <w:abstractNumId w:val="9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93"/>
    <w:rsid w:val="00143C33"/>
    <w:rsid w:val="004B2E2C"/>
    <w:rsid w:val="00564C93"/>
    <w:rsid w:val="00586F2F"/>
    <w:rsid w:val="005C4858"/>
    <w:rsid w:val="00667111"/>
    <w:rsid w:val="00676F00"/>
    <w:rsid w:val="006D3EC2"/>
    <w:rsid w:val="006E2F43"/>
    <w:rsid w:val="00985098"/>
    <w:rsid w:val="009A0F95"/>
    <w:rsid w:val="009A5065"/>
    <w:rsid w:val="00BB30D6"/>
    <w:rsid w:val="00D804ED"/>
    <w:rsid w:val="00DE709F"/>
    <w:rsid w:val="00E0685D"/>
    <w:rsid w:val="00E36B93"/>
    <w:rsid w:val="00E51581"/>
    <w:rsid w:val="00E86210"/>
    <w:rsid w:val="00E961DA"/>
    <w:rsid w:val="00F8036D"/>
    <w:rsid w:val="00F9604B"/>
    <w:rsid w:val="00F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7F76"/>
  <w15:chartTrackingRefBased/>
  <w15:docId w15:val="{CC0ACF15-6598-4C79-8F4C-74023142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0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BB30D6"/>
    <w:rPr>
      <w:b/>
      <w:bCs/>
    </w:rPr>
  </w:style>
  <w:style w:type="paragraph" w:styleId="a5">
    <w:name w:val="No Spacing"/>
    <w:uiPriority w:val="1"/>
    <w:qFormat/>
    <w:rsid w:val="00BB30D6"/>
    <w:pPr>
      <w:spacing w:after="0" w:line="240" w:lineRule="auto"/>
    </w:pPr>
  </w:style>
  <w:style w:type="paragraph" w:customStyle="1" w:styleId="docdata">
    <w:name w:val="docdata"/>
    <w:aliases w:val="docy,v5,3998,baiaagaaboqcaaad1a0aaaxidqaaaaaaaaaaaaaaaaaaaaaaaaaaaaaaaaaaaaaaaaaaaaaaaaaaaaaaaaaaaaaaaaaaaaaaaaaaaaaaaaaaaaaaaaaaaaaaaaaaaaaaaaaaaaaaaaaaaaaaaaaaaaaaaaaaaaaaaaaaaaaaaaaaaaaaaaaaaaaaaaaaaaaaaaaaaaaaaaaaaaaaaaaaaaaaaaaaaaaaaaaaaaaa"/>
    <w:basedOn w:val="a"/>
    <w:rsid w:val="00DE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DE70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36B93"/>
    <w:rPr>
      <w:rFonts w:ascii="Segoe UI" w:hAnsi="Segoe UI" w:cs="Segoe UI"/>
      <w:sz w:val="18"/>
      <w:szCs w:val="18"/>
      <w:lang w:val="ru-RU"/>
    </w:rPr>
  </w:style>
  <w:style w:type="table" w:customStyle="1" w:styleId="1">
    <w:name w:val="Сітка таблиці1"/>
    <w:basedOn w:val="a1"/>
    <w:next w:val="a9"/>
    <w:uiPriority w:val="59"/>
    <w:rsid w:val="005C485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C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9"/>
    <w:uiPriority w:val="59"/>
    <w:rsid w:val="005C485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B71A5-376B-44D0-B05E-1FB6436A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10129</Words>
  <Characters>5775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МРада</dc:creator>
  <cp:keywords/>
  <dc:description/>
  <cp:lastModifiedBy>МР</cp:lastModifiedBy>
  <cp:revision>5</cp:revision>
  <cp:lastPrinted>2026-02-26T14:16:00Z</cp:lastPrinted>
  <dcterms:created xsi:type="dcterms:W3CDTF">2026-02-20T06:13:00Z</dcterms:created>
  <dcterms:modified xsi:type="dcterms:W3CDTF">2026-02-26T14:16:00Z</dcterms:modified>
</cp:coreProperties>
</file>