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0658C" w14:textId="2E611E9B" w:rsidR="0099568C" w:rsidRDefault="0099568C" w:rsidP="0099568C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</w:t>
      </w:r>
      <w:r>
        <w:rPr>
          <w:b/>
          <w:color w:val="000000" w:themeColor="text1"/>
          <w:sz w:val="28"/>
          <w:szCs w:val="28"/>
        </w:rPr>
        <w:t>ЗАТВЕРДЖЕН</w:t>
      </w:r>
      <w:r>
        <w:rPr>
          <w:color w:val="000000" w:themeColor="text1"/>
          <w:sz w:val="28"/>
          <w:szCs w:val="28"/>
        </w:rPr>
        <w:t>О</w:t>
      </w:r>
    </w:p>
    <w:p w14:paraId="63E48B3E" w14:textId="4062220D" w:rsidR="0099568C" w:rsidRPr="0099568C" w:rsidRDefault="0099568C" w:rsidP="0099568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9568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</w:t>
      </w:r>
      <w:proofErr w:type="spellStart"/>
      <w:proofErr w:type="gramStart"/>
      <w:r w:rsidRPr="0099568C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99568C">
        <w:rPr>
          <w:rFonts w:ascii="Times New Roman" w:hAnsi="Times New Roman"/>
          <w:color w:val="000000" w:themeColor="text1"/>
          <w:sz w:val="28"/>
          <w:szCs w:val="28"/>
        </w:rPr>
        <w:t>ішенням</w:t>
      </w:r>
      <w:proofErr w:type="spellEnd"/>
      <w:r w:rsidRPr="009956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9568C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9956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9568C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9956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9568C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99568C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14:paraId="51BEAC21" w14:textId="3F6709FA" w:rsidR="0099568C" w:rsidRPr="0099568C" w:rsidRDefault="0099568C" w:rsidP="0099568C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99568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Pr="0099568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Pr="0099568C">
        <w:rPr>
          <w:rFonts w:ascii="Times New Roman" w:hAnsi="Times New Roman"/>
          <w:color w:val="000000" w:themeColor="text1"/>
          <w:sz w:val="28"/>
          <w:szCs w:val="28"/>
        </w:rPr>
        <w:t xml:space="preserve">   69 </w:t>
      </w:r>
      <w:proofErr w:type="spellStart"/>
      <w:r w:rsidRPr="0099568C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9956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568C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99568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99568C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99568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99568C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99568C">
        <w:rPr>
          <w:rFonts w:ascii="Times New Roman" w:hAnsi="Times New Roman"/>
          <w:color w:val="000000" w:themeColor="text1"/>
          <w:sz w:val="28"/>
          <w:szCs w:val="28"/>
        </w:rPr>
        <w:t xml:space="preserve"> 29.01.2026</w:t>
      </w:r>
    </w:p>
    <w:p w14:paraId="4EEDCA80" w14:textId="77777777" w:rsidR="0088106E" w:rsidRPr="0099568C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37E63D3" w14:textId="77777777" w:rsidR="009B1A3B" w:rsidRPr="0018377E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2370">
        <w:rPr>
          <w:rFonts w:ascii="Times New Roman" w:hAnsi="Times New Roman"/>
          <w:b/>
          <w:sz w:val="28"/>
          <w:szCs w:val="28"/>
          <w:lang w:val="uk-UA"/>
        </w:rPr>
        <w:t>ІНФ</w:t>
      </w:r>
      <w:r w:rsidRPr="0018377E">
        <w:rPr>
          <w:rFonts w:ascii="Times New Roman" w:hAnsi="Times New Roman"/>
          <w:b/>
          <w:sz w:val="28"/>
          <w:szCs w:val="28"/>
          <w:lang w:val="uk-UA"/>
        </w:rPr>
        <w:t>ОРМАЦІЙНА КАРТКА АДМІНІСТРАТИВНОЇ ПОСЛУГИ</w:t>
      </w:r>
    </w:p>
    <w:p w14:paraId="72C84887" w14:textId="115FCF9F" w:rsidR="002D3CAA" w:rsidRPr="00FD06C3" w:rsidRDefault="009B1A3B" w:rsidP="005151DD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FD06C3">
        <w:rPr>
          <w:rFonts w:ascii="Times New Roman" w:hAnsi="Times New Roman"/>
          <w:b/>
          <w:sz w:val="32"/>
          <w:szCs w:val="32"/>
          <w:u w:val="single"/>
          <w:lang w:val="uk-UA"/>
        </w:rPr>
        <w:t>0</w:t>
      </w:r>
      <w:r w:rsidR="00101563">
        <w:rPr>
          <w:rFonts w:ascii="Times New Roman" w:hAnsi="Times New Roman"/>
          <w:b/>
          <w:sz w:val="32"/>
          <w:szCs w:val="32"/>
          <w:u w:val="single"/>
          <w:lang w:val="uk-UA"/>
        </w:rPr>
        <w:t>2639</w:t>
      </w:r>
    </w:p>
    <w:p w14:paraId="089349B3" w14:textId="5041D7BD" w:rsidR="009B1A3B" w:rsidRPr="00101563" w:rsidRDefault="00101563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Державна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реєстрація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потужностей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використовуються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 будь-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якій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стадії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виробництва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та/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обігу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кормі</w:t>
      </w:r>
      <w:proofErr w:type="gram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та не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потребують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отримання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експлуатаційного</w:t>
      </w:r>
      <w:proofErr w:type="spellEnd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15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дозволу</w:t>
      </w:r>
      <w:proofErr w:type="spellEnd"/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18377E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18377E" w:rsidRDefault="000E760B" w:rsidP="00B725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18377E" w14:paraId="24BE7A8B" w14:textId="77777777" w:rsidTr="0018377E">
        <w:trPr>
          <w:trHeight w:val="604"/>
        </w:trPr>
        <w:tc>
          <w:tcPr>
            <w:tcW w:w="566" w:type="dxa"/>
          </w:tcPr>
          <w:p w14:paraId="5F6A6278" w14:textId="77777777" w:rsidR="000E760B" w:rsidRPr="0018377E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14" w:type="dxa"/>
          </w:tcPr>
          <w:p w14:paraId="0F506DB6" w14:textId="77777777" w:rsidR="000E760B" w:rsidRPr="0018377E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45" w:type="dxa"/>
          </w:tcPr>
          <w:p w14:paraId="1B8DA9F9" w14:textId="6D2F933D" w:rsidR="000E760B" w:rsidRPr="0018377E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18377E" w14:paraId="02533499" w14:textId="77777777" w:rsidTr="0018377E">
        <w:trPr>
          <w:trHeight w:val="1035"/>
        </w:trPr>
        <w:tc>
          <w:tcPr>
            <w:tcW w:w="566" w:type="dxa"/>
          </w:tcPr>
          <w:p w14:paraId="3A6FEC1B" w14:textId="77777777" w:rsidR="002C0E76" w:rsidRPr="0018377E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14" w:type="dxa"/>
          </w:tcPr>
          <w:p w14:paraId="72C197D4" w14:textId="6F0152F8" w:rsidR="002C0E76" w:rsidRPr="0018377E" w:rsidRDefault="002C0E76" w:rsidP="00FE73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звернень)</w:t>
            </w:r>
          </w:p>
        </w:tc>
        <w:tc>
          <w:tcPr>
            <w:tcW w:w="5745" w:type="dxa"/>
            <w:vAlign w:val="center"/>
          </w:tcPr>
          <w:p w14:paraId="150CC29B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18377E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18377E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377E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18377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18377E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377E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18377E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18377E" w14:paraId="1CF27176" w14:textId="77777777" w:rsidTr="0018377E">
        <w:trPr>
          <w:trHeight w:val="588"/>
        </w:trPr>
        <w:tc>
          <w:tcPr>
            <w:tcW w:w="566" w:type="dxa"/>
          </w:tcPr>
          <w:p w14:paraId="4D157001" w14:textId="77777777" w:rsidR="002C0E76" w:rsidRPr="0018377E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14" w:type="dxa"/>
          </w:tcPr>
          <w:p w14:paraId="44DCF461" w14:textId="658D8C4B" w:rsidR="002C0E76" w:rsidRPr="0018377E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45" w:type="dxa"/>
            <w:vAlign w:val="center"/>
          </w:tcPr>
          <w:p w14:paraId="7BF5C7E6" w14:textId="7023D9D0" w:rsidR="006D7AB9" w:rsidRPr="0018377E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18377E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18377E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8377E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18377E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3BBE8402" w:rsidR="00BD3490" w:rsidRPr="0018377E" w:rsidRDefault="00BD3490" w:rsidP="00D352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D762C3" w14:paraId="64843B8E" w14:textId="77777777" w:rsidTr="0018377E">
        <w:trPr>
          <w:trHeight w:val="575"/>
        </w:trPr>
        <w:tc>
          <w:tcPr>
            <w:tcW w:w="566" w:type="dxa"/>
          </w:tcPr>
          <w:p w14:paraId="7935D2DB" w14:textId="3D926AAF" w:rsidR="00B858C3" w:rsidRPr="00D762C3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D762C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0E70609" w14:textId="77777777" w:rsidR="00B858C3" w:rsidRPr="00D762C3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45" w:type="dxa"/>
          </w:tcPr>
          <w:p w14:paraId="6EF68FD0" w14:textId="77777777" w:rsidR="0099568C" w:rsidRDefault="00101563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62C3"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гі</w:t>
            </w:r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ієну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», ст. 15; </w:t>
            </w:r>
          </w:p>
          <w:p w14:paraId="5E909018" w14:textId="77777777" w:rsidR="0099568C" w:rsidRDefault="00101563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дозвільну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систему 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сфері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господарської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14:paraId="4A79DDE3" w14:textId="77777777" w:rsidR="0099568C" w:rsidRDefault="00101563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Перелі</w:t>
            </w:r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документ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дозвільного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характеру 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сфері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господарської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14:paraId="47FE4993" w14:textId="77777777" w:rsidR="0099568C" w:rsidRDefault="00101563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іністративні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», ст. 8; </w:t>
            </w:r>
          </w:p>
          <w:p w14:paraId="59DF3F17" w14:textId="5B24C7AE" w:rsidR="00906F1A" w:rsidRPr="0099568C" w:rsidRDefault="00101563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адміністративну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процедуру», ст.</w:t>
            </w:r>
            <w:r w:rsidR="0099568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bookmarkStart w:id="0" w:name="_GoBack"/>
            <w:bookmarkEnd w:id="0"/>
          </w:p>
        </w:tc>
      </w:tr>
      <w:tr w:rsidR="00FD06C3" w:rsidRPr="00D762C3" w14:paraId="37DDAEFC" w14:textId="77777777" w:rsidTr="0018377E">
        <w:trPr>
          <w:trHeight w:val="575"/>
        </w:trPr>
        <w:tc>
          <w:tcPr>
            <w:tcW w:w="566" w:type="dxa"/>
          </w:tcPr>
          <w:p w14:paraId="4B83FF8F" w14:textId="39FA3262" w:rsidR="00FD06C3" w:rsidRPr="00D762C3" w:rsidRDefault="00FD06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614" w:type="dxa"/>
          </w:tcPr>
          <w:p w14:paraId="21EFFB93" w14:textId="5992B9A6" w:rsidR="00FD06C3" w:rsidRPr="00D762C3" w:rsidRDefault="00FD06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45" w:type="dxa"/>
          </w:tcPr>
          <w:p w14:paraId="0E92FC17" w14:textId="4C63342F" w:rsidR="00FD06C3" w:rsidRPr="00D762C3" w:rsidRDefault="00101563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</w:rPr>
              <w:t xml:space="preserve">Постанова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Кабінету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Міністрів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18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серпня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2021 року № 884 «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Деякі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Закону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гі</w:t>
            </w:r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ієну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»»; постанова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Кабінету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Міні</w:t>
            </w:r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20 лютого 2013 року </w:t>
            </w:r>
            <w:r w:rsidRPr="00D76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118 «Про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Примірного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про центр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адміністративних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»; постанова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Кабінету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Міністрів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жовтня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2025 р. № 1226 «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Деякі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адміністративних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через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центри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адміністративних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06C3" w:rsidRPr="00D762C3" w14:paraId="3C2CD3CD" w14:textId="77777777" w:rsidTr="00FD06C3">
        <w:trPr>
          <w:trHeight w:val="416"/>
        </w:trPr>
        <w:tc>
          <w:tcPr>
            <w:tcW w:w="566" w:type="dxa"/>
          </w:tcPr>
          <w:p w14:paraId="101F3893" w14:textId="390349C6" w:rsidR="00FD06C3" w:rsidRPr="00D762C3" w:rsidRDefault="00FD06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4.2</w:t>
            </w:r>
          </w:p>
        </w:tc>
        <w:tc>
          <w:tcPr>
            <w:tcW w:w="3614" w:type="dxa"/>
          </w:tcPr>
          <w:p w14:paraId="18CA14C1" w14:textId="0C65F25B" w:rsidR="00FD06C3" w:rsidRPr="00D762C3" w:rsidRDefault="00FD06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45" w:type="dxa"/>
          </w:tcPr>
          <w:p w14:paraId="1B8AF02E" w14:textId="45AC4E6C" w:rsidR="00FD06C3" w:rsidRPr="00D762C3" w:rsidRDefault="00101563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потужностей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обігу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затверджений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наказом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Мінагрополітики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06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травня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2019 року № 241 «Про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деяких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нормативноправових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актів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безпечності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гі</w:t>
            </w:r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ієни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зареєстрований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Міністерством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юстиції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19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липня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2019 року за № 807/33778</w:t>
            </w:r>
          </w:p>
        </w:tc>
      </w:tr>
      <w:tr w:rsidR="00BD3490" w:rsidRPr="00D762C3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5CEC4C7A" w:rsidR="00BD3490" w:rsidRPr="00D762C3" w:rsidRDefault="00906F1A" w:rsidP="00906F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FE2188" w:rsidRPr="00D762C3" w14:paraId="41F3E876" w14:textId="77777777" w:rsidTr="0018377E">
        <w:trPr>
          <w:trHeight w:val="750"/>
        </w:trPr>
        <w:tc>
          <w:tcPr>
            <w:tcW w:w="566" w:type="dxa"/>
          </w:tcPr>
          <w:p w14:paraId="2C6EDA4D" w14:textId="727D6618" w:rsidR="00FE2188" w:rsidRPr="00D762C3" w:rsidRDefault="00FD06C3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14" w:type="dxa"/>
          </w:tcPr>
          <w:p w14:paraId="33B98D6C" w14:textId="77777777" w:rsidR="00FE2188" w:rsidRPr="00D762C3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45" w:type="dxa"/>
          </w:tcPr>
          <w:p w14:paraId="6F198AEF" w14:textId="2335D403" w:rsidR="00906F1A" w:rsidRPr="00D762C3" w:rsidRDefault="00101563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гі</w:t>
            </w:r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ієну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», ст. 14, 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саме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оператори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ринку,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провадять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діяльність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вимагає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зобов'язані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повідомити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компетентний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орган 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вони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мають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намір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на будь-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якій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стадії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та/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обігу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>,</w:t>
            </w: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62C3">
              <w:rPr>
                <w:rFonts w:ascii="Times New Roman" w:hAnsi="Times New Roman"/>
                <w:sz w:val="28"/>
                <w:szCs w:val="28"/>
              </w:rPr>
              <w:t xml:space="preserve">з метою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</w:p>
        </w:tc>
      </w:tr>
      <w:tr w:rsidR="00B858C3" w:rsidRPr="00D762C3" w14:paraId="4589238C" w14:textId="77777777" w:rsidTr="0018377E">
        <w:trPr>
          <w:trHeight w:val="358"/>
        </w:trPr>
        <w:tc>
          <w:tcPr>
            <w:tcW w:w="566" w:type="dxa"/>
          </w:tcPr>
          <w:p w14:paraId="4529D79A" w14:textId="7A0EB787" w:rsidR="00B858C3" w:rsidRPr="00D762C3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B858C3" w:rsidRPr="00D762C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140F586" w14:textId="77777777" w:rsidR="00B858C3" w:rsidRPr="00D762C3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45" w:type="dxa"/>
          </w:tcPr>
          <w:p w14:paraId="4F45D855" w14:textId="214F8CD5" w:rsidR="00B858C3" w:rsidRPr="00D762C3" w:rsidRDefault="00101563" w:rsidP="00906F1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іністративної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необхідно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подати до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територіального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органу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заяву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оператора ринку 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реєстрацію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</w:p>
        </w:tc>
      </w:tr>
      <w:tr w:rsidR="00B858C3" w:rsidRPr="00D762C3" w14:paraId="2FCF3BA6" w14:textId="77777777" w:rsidTr="0018377E">
        <w:trPr>
          <w:trHeight w:val="557"/>
        </w:trPr>
        <w:tc>
          <w:tcPr>
            <w:tcW w:w="566" w:type="dxa"/>
          </w:tcPr>
          <w:p w14:paraId="39259690" w14:textId="21E3B16E" w:rsidR="00B858C3" w:rsidRPr="00D762C3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D762C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20DF0F2" w14:textId="77777777" w:rsidR="00B858C3" w:rsidRPr="00D762C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45" w:type="dxa"/>
          </w:tcPr>
          <w:p w14:paraId="1BE15D91" w14:textId="630B8C7D" w:rsidR="00B858C3" w:rsidRPr="00D762C3" w:rsidRDefault="00101563" w:rsidP="00FD06C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Заява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може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бути подана в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паперовій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або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електронній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формі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.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Подання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заяви в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електронній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формі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здійснюється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3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використанням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кваліфікованого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електронного</w:t>
            </w:r>
            <w:proofErr w:type="spell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</w:t>
            </w:r>
            <w:proofErr w:type="gramEnd"/>
            <w:r w:rsidRPr="00D762C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ідпису</w:t>
            </w:r>
            <w:proofErr w:type="spellEnd"/>
          </w:p>
        </w:tc>
      </w:tr>
      <w:tr w:rsidR="00B858C3" w:rsidRPr="00D762C3" w14:paraId="35C380AE" w14:textId="77777777" w:rsidTr="0018377E">
        <w:trPr>
          <w:trHeight w:val="486"/>
        </w:trPr>
        <w:tc>
          <w:tcPr>
            <w:tcW w:w="566" w:type="dxa"/>
          </w:tcPr>
          <w:p w14:paraId="3C301D15" w14:textId="108EAA8F" w:rsidR="00B858C3" w:rsidRPr="00D762C3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EE1624" w:rsidRPr="00D762C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1CD876F0" w14:textId="69F127C3" w:rsidR="00B858C3" w:rsidRPr="00D762C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  <w:r w:rsidR="00437CD3"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5745" w:type="dxa"/>
          </w:tcPr>
          <w:p w14:paraId="37579387" w14:textId="40A7B8DC" w:rsidR="00B858C3" w:rsidRPr="00D762C3" w:rsidRDefault="00101563" w:rsidP="00AA7CE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Безоплатно</w:t>
            </w:r>
          </w:p>
        </w:tc>
      </w:tr>
      <w:tr w:rsidR="00437CD3" w:rsidRPr="00D762C3" w14:paraId="65A4C77D" w14:textId="77777777" w:rsidTr="0018377E">
        <w:trPr>
          <w:trHeight w:val="344"/>
        </w:trPr>
        <w:tc>
          <w:tcPr>
            <w:tcW w:w="566" w:type="dxa"/>
          </w:tcPr>
          <w:p w14:paraId="430F86A2" w14:textId="271E0EE2" w:rsidR="00437CD3" w:rsidRPr="00D762C3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14" w:type="dxa"/>
          </w:tcPr>
          <w:p w14:paraId="45ACD25D" w14:textId="472DB5F7" w:rsidR="00437CD3" w:rsidRPr="00D762C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45" w:type="dxa"/>
          </w:tcPr>
          <w:p w14:paraId="120F07A4" w14:textId="225057D8" w:rsidR="00437CD3" w:rsidRPr="00D762C3" w:rsidRDefault="0010156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Державна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здійснюється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календарних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днів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ісля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відповідної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заяви оператора ринку</w:t>
            </w:r>
          </w:p>
        </w:tc>
      </w:tr>
      <w:tr w:rsidR="00437CD3" w:rsidRPr="00D762C3" w14:paraId="4B404351" w14:textId="77777777" w:rsidTr="0018377E">
        <w:trPr>
          <w:trHeight w:val="705"/>
        </w:trPr>
        <w:tc>
          <w:tcPr>
            <w:tcW w:w="566" w:type="dxa"/>
          </w:tcPr>
          <w:p w14:paraId="617C573E" w14:textId="57219064" w:rsidR="00437CD3" w:rsidRPr="00D762C3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614" w:type="dxa"/>
          </w:tcPr>
          <w:p w14:paraId="7A2BCB59" w14:textId="77777777" w:rsidR="00437CD3" w:rsidRPr="00D762C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45" w:type="dxa"/>
          </w:tcPr>
          <w:p w14:paraId="0BE780AE" w14:textId="4F2EE70E" w:rsidR="00437CD3" w:rsidRPr="00D762C3" w:rsidRDefault="00101563" w:rsidP="00FD06C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ідставами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відмови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державній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невідповідність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заяви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встановленій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формі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та/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неповної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поданій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заяві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Відмова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державній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потужностей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інших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lastRenderedPageBreak/>
              <w:t>підстав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забороняється</w:t>
            </w:r>
            <w:proofErr w:type="spellEnd"/>
          </w:p>
        </w:tc>
      </w:tr>
      <w:tr w:rsidR="00437CD3" w:rsidRPr="00D762C3" w14:paraId="3D6CE34D" w14:textId="77777777" w:rsidTr="00D762C3">
        <w:trPr>
          <w:trHeight w:val="274"/>
        </w:trPr>
        <w:tc>
          <w:tcPr>
            <w:tcW w:w="566" w:type="dxa"/>
          </w:tcPr>
          <w:p w14:paraId="7B63456D" w14:textId="37A68565" w:rsidR="00437CD3" w:rsidRPr="00D762C3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3614" w:type="dxa"/>
          </w:tcPr>
          <w:p w14:paraId="2A6B5FFC" w14:textId="77777777" w:rsidR="00437CD3" w:rsidRPr="00D762C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5" w:type="dxa"/>
          </w:tcPr>
          <w:p w14:paraId="6FF8F8C7" w14:textId="08E33AA3" w:rsidR="00437CD3" w:rsidRPr="00D762C3" w:rsidRDefault="00D762C3" w:rsidP="0018377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статті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15 Закону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гі</w:t>
            </w:r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ієну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» та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залежно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поданої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заяви: 1.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Державна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Відмова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державній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потужностей</w:t>
            </w:r>
            <w:proofErr w:type="spellEnd"/>
          </w:p>
        </w:tc>
      </w:tr>
      <w:tr w:rsidR="00437CD3" w:rsidRPr="00D762C3" w14:paraId="16F4662A" w14:textId="77777777" w:rsidTr="0018377E">
        <w:trPr>
          <w:trHeight w:val="645"/>
        </w:trPr>
        <w:tc>
          <w:tcPr>
            <w:tcW w:w="566" w:type="dxa"/>
          </w:tcPr>
          <w:p w14:paraId="1558E84D" w14:textId="793E6517" w:rsidR="00437CD3" w:rsidRPr="00D762C3" w:rsidRDefault="00437CD3" w:rsidP="00FD06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614" w:type="dxa"/>
          </w:tcPr>
          <w:p w14:paraId="0ED497F6" w14:textId="77777777" w:rsidR="00437CD3" w:rsidRPr="00D762C3" w:rsidRDefault="00437CD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45" w:type="dxa"/>
          </w:tcPr>
          <w:p w14:paraId="0CD65E82" w14:textId="0AAD73B6" w:rsidR="00437CD3" w:rsidRPr="00D762C3" w:rsidRDefault="00D762C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Копія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ішення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реєстрацію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державній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надається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надсилається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) оператору ринку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трьох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робочих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днів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з дня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прийняття</w:t>
            </w:r>
            <w:proofErr w:type="spellEnd"/>
          </w:p>
        </w:tc>
      </w:tr>
      <w:tr w:rsidR="00437CD3" w:rsidRPr="00D762C3" w14:paraId="1D152911" w14:textId="77777777" w:rsidTr="0018377E">
        <w:trPr>
          <w:trHeight w:val="645"/>
        </w:trPr>
        <w:tc>
          <w:tcPr>
            <w:tcW w:w="566" w:type="dxa"/>
          </w:tcPr>
          <w:p w14:paraId="085D1DB6" w14:textId="7175200B" w:rsidR="00437CD3" w:rsidRPr="00D762C3" w:rsidRDefault="00437CD3" w:rsidP="00FD06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614" w:type="dxa"/>
          </w:tcPr>
          <w:p w14:paraId="774996AC" w14:textId="3B357A1B" w:rsidR="00437CD3" w:rsidRPr="00D762C3" w:rsidRDefault="00437CD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Примітка </w:t>
            </w:r>
          </w:p>
        </w:tc>
        <w:tc>
          <w:tcPr>
            <w:tcW w:w="5745" w:type="dxa"/>
          </w:tcPr>
          <w:p w14:paraId="5D26303B" w14:textId="6D5C0849" w:rsidR="00437CD3" w:rsidRPr="00D762C3" w:rsidRDefault="00D762C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ідповідно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статті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14 Закону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гігієну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» та постанови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Кабінету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Міністрів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18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серпня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2021 року № 884 «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Деякі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Закону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62C3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гігієну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встановлено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: 1.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Якщо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15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робочих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днів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з моменту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територіальним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органом компетентного органу заяви 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реєстрацію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така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здійснена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копія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ішення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державній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надана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надіслана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) оператору ринку,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він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набуває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право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здійснювати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виробництво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та/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обіг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кормі</w:t>
            </w:r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відповідній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за принципом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мовчазної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згоди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. 2.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Транспортні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засоби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використовуються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оператором ринку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виключно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перевезення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, яке не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пов'язане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експлуатацією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належної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йому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зареєстрованої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, на яку видано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експлуатаційний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дозвіл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D762C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762C3">
              <w:rPr>
                <w:rFonts w:ascii="Times New Roman" w:hAnsi="Times New Roman"/>
                <w:sz w:val="28"/>
                <w:szCs w:val="28"/>
              </w:rPr>
              <w:t>ідлягають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кумулятивній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державній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, для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якої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подається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одна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заява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незалежно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кількості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відповідних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транспортних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) та за результатами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якої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присвоюється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один </w:t>
            </w:r>
            <w:proofErr w:type="spellStart"/>
            <w:r w:rsidRPr="00D762C3">
              <w:rPr>
                <w:rFonts w:ascii="Times New Roman" w:hAnsi="Times New Roman"/>
                <w:sz w:val="28"/>
                <w:szCs w:val="28"/>
              </w:rPr>
              <w:t>реєстраційний</w:t>
            </w:r>
            <w:proofErr w:type="spellEnd"/>
            <w:r w:rsidRPr="00D762C3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</w:p>
        </w:tc>
      </w:tr>
    </w:tbl>
    <w:p w14:paraId="1FA08724" w14:textId="57BCC622" w:rsidR="00FD06C3" w:rsidRPr="00D762C3" w:rsidRDefault="00906F1A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  <w:r w:rsidRPr="00D762C3">
        <w:rPr>
          <w:color w:val="212529"/>
          <w:sz w:val="28"/>
          <w:szCs w:val="28"/>
          <w:lang w:val="uk-UA"/>
        </w:rPr>
        <w:t xml:space="preserve"> </w:t>
      </w:r>
    </w:p>
    <w:p w14:paraId="390010EE" w14:textId="77777777" w:rsidR="003B1A90" w:rsidRPr="00D762C3" w:rsidRDefault="003B1A90" w:rsidP="0018377E">
      <w:pPr>
        <w:pStyle w:val="5"/>
        <w:shd w:val="clear" w:color="auto" w:fill="FFFFFF"/>
        <w:spacing w:before="0" w:after="240"/>
        <w:rPr>
          <w:rFonts w:ascii="Times New Roman" w:hAnsi="Times New Roman"/>
          <w:sz w:val="28"/>
          <w:szCs w:val="28"/>
          <w:lang w:val="uk-UA"/>
        </w:rPr>
      </w:pPr>
    </w:p>
    <w:sectPr w:rsidR="003B1A90" w:rsidRPr="00D762C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CE13B" w14:textId="77777777" w:rsidR="00F635FC" w:rsidRDefault="00F635FC" w:rsidP="002C0E76">
      <w:r>
        <w:separator/>
      </w:r>
    </w:p>
  </w:endnote>
  <w:endnote w:type="continuationSeparator" w:id="0">
    <w:p w14:paraId="3CDE4B4F" w14:textId="77777777" w:rsidR="00F635FC" w:rsidRDefault="00F635FC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D73F0" w14:textId="77777777" w:rsidR="00F635FC" w:rsidRDefault="00F635FC" w:rsidP="002C0E76">
      <w:r>
        <w:separator/>
      </w:r>
    </w:p>
  </w:footnote>
  <w:footnote w:type="continuationSeparator" w:id="0">
    <w:p w14:paraId="4666C882" w14:textId="77777777" w:rsidR="00F635FC" w:rsidRDefault="00F635FC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01563"/>
    <w:rsid w:val="00135434"/>
    <w:rsid w:val="0018377E"/>
    <w:rsid w:val="001E79BB"/>
    <w:rsid w:val="002522C9"/>
    <w:rsid w:val="002601B2"/>
    <w:rsid w:val="002604BB"/>
    <w:rsid w:val="00281CA2"/>
    <w:rsid w:val="002C0E76"/>
    <w:rsid w:val="002D3CAA"/>
    <w:rsid w:val="00345D98"/>
    <w:rsid w:val="003513DD"/>
    <w:rsid w:val="003A7B55"/>
    <w:rsid w:val="003B1A90"/>
    <w:rsid w:val="003B5999"/>
    <w:rsid w:val="003D434F"/>
    <w:rsid w:val="003E7B7F"/>
    <w:rsid w:val="003F31C5"/>
    <w:rsid w:val="00437CD3"/>
    <w:rsid w:val="00464CE0"/>
    <w:rsid w:val="00472B58"/>
    <w:rsid w:val="00473EA2"/>
    <w:rsid w:val="004D77B1"/>
    <w:rsid w:val="00501290"/>
    <w:rsid w:val="00514903"/>
    <w:rsid w:val="005151DD"/>
    <w:rsid w:val="00551951"/>
    <w:rsid w:val="00574ABA"/>
    <w:rsid w:val="00602E15"/>
    <w:rsid w:val="006114D9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93B6B"/>
    <w:rsid w:val="007B2C40"/>
    <w:rsid w:val="007C6B54"/>
    <w:rsid w:val="008009AA"/>
    <w:rsid w:val="00810A23"/>
    <w:rsid w:val="00813745"/>
    <w:rsid w:val="0082583C"/>
    <w:rsid w:val="008331D2"/>
    <w:rsid w:val="00841FC1"/>
    <w:rsid w:val="0088106E"/>
    <w:rsid w:val="00891574"/>
    <w:rsid w:val="008A1BD7"/>
    <w:rsid w:val="008D2090"/>
    <w:rsid w:val="008E49E6"/>
    <w:rsid w:val="008E53E5"/>
    <w:rsid w:val="008F7A08"/>
    <w:rsid w:val="009041EE"/>
    <w:rsid w:val="00904FB1"/>
    <w:rsid w:val="00906F1A"/>
    <w:rsid w:val="00931C23"/>
    <w:rsid w:val="00970996"/>
    <w:rsid w:val="009770CC"/>
    <w:rsid w:val="00981B3F"/>
    <w:rsid w:val="0099568C"/>
    <w:rsid w:val="009B1A3B"/>
    <w:rsid w:val="009D452A"/>
    <w:rsid w:val="009D5F34"/>
    <w:rsid w:val="009E7A75"/>
    <w:rsid w:val="00A02C4D"/>
    <w:rsid w:val="00A0686D"/>
    <w:rsid w:val="00A07175"/>
    <w:rsid w:val="00A26B13"/>
    <w:rsid w:val="00A4715E"/>
    <w:rsid w:val="00A71197"/>
    <w:rsid w:val="00A811F9"/>
    <w:rsid w:val="00A829D8"/>
    <w:rsid w:val="00AA63B2"/>
    <w:rsid w:val="00AA7CE7"/>
    <w:rsid w:val="00B17E10"/>
    <w:rsid w:val="00B355A4"/>
    <w:rsid w:val="00B40E25"/>
    <w:rsid w:val="00B725F1"/>
    <w:rsid w:val="00B80774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A08EA"/>
    <w:rsid w:val="00CF44E7"/>
    <w:rsid w:val="00CF6D51"/>
    <w:rsid w:val="00D01B82"/>
    <w:rsid w:val="00D06BB6"/>
    <w:rsid w:val="00D1434F"/>
    <w:rsid w:val="00D35295"/>
    <w:rsid w:val="00D43FD0"/>
    <w:rsid w:val="00D52438"/>
    <w:rsid w:val="00D71971"/>
    <w:rsid w:val="00D72155"/>
    <w:rsid w:val="00D72723"/>
    <w:rsid w:val="00D762C3"/>
    <w:rsid w:val="00D77628"/>
    <w:rsid w:val="00D94591"/>
    <w:rsid w:val="00D9697A"/>
    <w:rsid w:val="00DE341E"/>
    <w:rsid w:val="00DF3347"/>
    <w:rsid w:val="00E16FC9"/>
    <w:rsid w:val="00E32103"/>
    <w:rsid w:val="00E37B4D"/>
    <w:rsid w:val="00E50099"/>
    <w:rsid w:val="00E64595"/>
    <w:rsid w:val="00E946E6"/>
    <w:rsid w:val="00EE1624"/>
    <w:rsid w:val="00EF38D8"/>
    <w:rsid w:val="00EF51D5"/>
    <w:rsid w:val="00F230F2"/>
    <w:rsid w:val="00F635FC"/>
    <w:rsid w:val="00F64B8E"/>
    <w:rsid w:val="00F670EB"/>
    <w:rsid w:val="00F67FB4"/>
    <w:rsid w:val="00F76F05"/>
    <w:rsid w:val="00FB3117"/>
    <w:rsid w:val="00FD06C3"/>
    <w:rsid w:val="00FD2370"/>
    <w:rsid w:val="00FD4E1F"/>
    <w:rsid w:val="00FE2188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9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1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5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46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5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21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471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8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3321</Words>
  <Characters>1893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32</cp:revision>
  <cp:lastPrinted>2025-01-15T10:34:00Z</cp:lastPrinted>
  <dcterms:created xsi:type="dcterms:W3CDTF">2023-11-16T13:35:00Z</dcterms:created>
  <dcterms:modified xsi:type="dcterms:W3CDTF">2026-01-14T09:45:00Z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