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2DD88" w14:textId="00487300" w:rsidR="00FE71A3" w:rsidRPr="00FE71A3" w:rsidRDefault="00FE71A3" w:rsidP="00FE71A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                    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  </w:t>
      </w:r>
      <w:r w:rsidRPr="00FE71A3">
        <w:rPr>
          <w:rFonts w:ascii="Times New Roman" w:hAnsi="Times New Roman"/>
          <w:b/>
          <w:color w:val="000000" w:themeColor="text1"/>
          <w:sz w:val="28"/>
          <w:szCs w:val="28"/>
        </w:rPr>
        <w:t>ЗАТВЕРДЖЕН</w:t>
      </w:r>
      <w:r w:rsidRPr="00FE71A3">
        <w:rPr>
          <w:rFonts w:ascii="Times New Roman" w:hAnsi="Times New Roman"/>
          <w:color w:val="000000" w:themeColor="text1"/>
          <w:sz w:val="28"/>
          <w:szCs w:val="28"/>
        </w:rPr>
        <w:t>О</w:t>
      </w:r>
    </w:p>
    <w:p w14:paraId="75C976C1" w14:textId="77777777" w:rsidR="00FE71A3" w:rsidRPr="00FE71A3" w:rsidRDefault="00FE71A3" w:rsidP="00FE71A3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E71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proofErr w:type="spellStart"/>
      <w:proofErr w:type="gramStart"/>
      <w:r w:rsidRPr="00FE71A3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FE71A3">
        <w:rPr>
          <w:rFonts w:ascii="Times New Roman" w:hAnsi="Times New Roman"/>
          <w:color w:val="000000" w:themeColor="text1"/>
          <w:sz w:val="28"/>
          <w:szCs w:val="28"/>
        </w:rPr>
        <w:t>ішенням</w:t>
      </w:r>
      <w:proofErr w:type="spellEnd"/>
      <w:r w:rsidRPr="00FE71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71A3">
        <w:rPr>
          <w:rFonts w:ascii="Times New Roman" w:hAnsi="Times New Roman"/>
          <w:color w:val="000000" w:themeColor="text1"/>
          <w:sz w:val="28"/>
          <w:szCs w:val="28"/>
        </w:rPr>
        <w:t>сесії</w:t>
      </w:r>
      <w:proofErr w:type="spellEnd"/>
      <w:r w:rsidRPr="00FE71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71A3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FE71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FE71A3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FE71A3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</w:p>
    <w:p w14:paraId="4CDDCDD6" w14:textId="51A34986" w:rsidR="00FE71A3" w:rsidRPr="00FE71A3" w:rsidRDefault="00FE71A3" w:rsidP="00FE71A3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FE71A3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   </w:t>
      </w:r>
      <w:r w:rsidRPr="00FE71A3">
        <w:rPr>
          <w:rFonts w:ascii="Times New Roman" w:hAnsi="Times New Roman"/>
          <w:color w:val="000000" w:themeColor="text1"/>
          <w:sz w:val="28"/>
          <w:szCs w:val="28"/>
        </w:rPr>
        <w:t xml:space="preserve">  69 </w:t>
      </w:r>
      <w:proofErr w:type="spellStart"/>
      <w:r w:rsidRPr="00FE71A3">
        <w:rPr>
          <w:rFonts w:ascii="Times New Roman" w:hAnsi="Times New Roman"/>
          <w:color w:val="000000" w:themeColor="text1"/>
          <w:sz w:val="28"/>
          <w:szCs w:val="28"/>
        </w:rPr>
        <w:t>сесія</w:t>
      </w:r>
      <w:proofErr w:type="spellEnd"/>
      <w:r w:rsidRPr="00FE71A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E71A3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FE71A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FE71A3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FE71A3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FE71A3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FE71A3">
        <w:rPr>
          <w:rFonts w:ascii="Times New Roman" w:hAnsi="Times New Roman"/>
          <w:color w:val="000000" w:themeColor="text1"/>
          <w:sz w:val="28"/>
          <w:szCs w:val="28"/>
        </w:rPr>
        <w:t xml:space="preserve"> 29.01.2026</w:t>
      </w:r>
    </w:p>
    <w:p w14:paraId="4EEDCA80" w14:textId="77777777" w:rsidR="0088106E" w:rsidRPr="00FE71A3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37E63D3" w14:textId="77777777" w:rsidR="009B1A3B" w:rsidRPr="0018377E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FD2370">
        <w:rPr>
          <w:rFonts w:ascii="Times New Roman" w:hAnsi="Times New Roman"/>
          <w:b/>
          <w:sz w:val="28"/>
          <w:szCs w:val="28"/>
          <w:lang w:val="uk-UA"/>
        </w:rPr>
        <w:t>ІНФ</w:t>
      </w:r>
      <w:r w:rsidRPr="0018377E">
        <w:rPr>
          <w:rFonts w:ascii="Times New Roman" w:hAnsi="Times New Roman"/>
          <w:b/>
          <w:sz w:val="28"/>
          <w:szCs w:val="28"/>
          <w:lang w:val="uk-UA"/>
        </w:rPr>
        <w:t>ОРМАЦІЙНА КАРТКА АДМІНІСТРАТИВНОЇ ПОСЛУГИ</w:t>
      </w:r>
    </w:p>
    <w:p w14:paraId="72C84887" w14:textId="0EB48D65" w:rsidR="002D3CAA" w:rsidRPr="00FD06C3" w:rsidRDefault="009B1A3B" w:rsidP="005151DD">
      <w:pPr>
        <w:jc w:val="center"/>
        <w:rPr>
          <w:rFonts w:ascii="Times New Roman" w:hAnsi="Times New Roman"/>
          <w:b/>
          <w:sz w:val="32"/>
          <w:szCs w:val="32"/>
          <w:u w:val="single"/>
          <w:lang w:val="uk-UA"/>
        </w:rPr>
      </w:pPr>
      <w:r w:rsidRPr="00FD06C3">
        <w:rPr>
          <w:rFonts w:ascii="Times New Roman" w:hAnsi="Times New Roman"/>
          <w:b/>
          <w:sz w:val="32"/>
          <w:szCs w:val="32"/>
          <w:u w:val="single"/>
          <w:lang w:val="uk-UA"/>
        </w:rPr>
        <w:t>0</w:t>
      </w:r>
      <w:r w:rsidR="00A02C4D">
        <w:rPr>
          <w:rFonts w:ascii="Times New Roman" w:hAnsi="Times New Roman"/>
          <w:b/>
          <w:sz w:val="32"/>
          <w:szCs w:val="32"/>
          <w:u w:val="single"/>
          <w:lang w:val="uk-UA"/>
        </w:rPr>
        <w:t>2638</w:t>
      </w:r>
    </w:p>
    <w:p w14:paraId="796689C8" w14:textId="77777777" w:rsidR="00A02C4D" w:rsidRDefault="0018377E" w:rsidP="005151DD">
      <w:pPr>
        <w:jc w:val="center"/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uk-UA"/>
        </w:rPr>
      </w:pPr>
      <w:r w:rsidRPr="00FD06C3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FD06C3" w:rsidRPr="00FD06C3"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Видача</w:t>
      </w:r>
      <w:proofErr w:type="spell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експлуатаційного</w:t>
      </w:r>
      <w:proofErr w:type="spell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дозволу</w:t>
      </w:r>
      <w:proofErr w:type="spellEnd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r w:rsidR="00A02C4D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uk-UA"/>
        </w:rPr>
        <w:t>на</w:t>
      </w:r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 xml:space="preserve"> </w:t>
      </w:r>
      <w:proofErr w:type="spellStart"/>
      <w:r w:rsidR="00FD06C3" w:rsidRPr="00FD06C3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потужн</w:t>
      </w:r>
      <w:r w:rsidR="00A02C4D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uk-UA"/>
        </w:rPr>
        <w:t>ість</w:t>
      </w:r>
      <w:proofErr w:type="spellEnd"/>
      <w:r w:rsidR="00A02C4D"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uk-UA"/>
        </w:rPr>
        <w:t xml:space="preserve"> </w:t>
      </w:r>
    </w:p>
    <w:p w14:paraId="089349B3" w14:textId="6DC0A415" w:rsidR="009B1A3B" w:rsidRPr="00FD06C3" w:rsidRDefault="00A02C4D" w:rsidP="005151DD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color w:val="000000"/>
          <w:sz w:val="32"/>
          <w:szCs w:val="32"/>
          <w:shd w:val="clear" w:color="auto" w:fill="FFFFFF"/>
          <w:lang w:val="uk-UA"/>
        </w:rPr>
        <w:t>для операторів ринку кормів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18377E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18377E" w:rsidRDefault="000E760B" w:rsidP="00B725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18377E" w14:paraId="24BE7A8B" w14:textId="77777777" w:rsidTr="0018377E">
        <w:trPr>
          <w:trHeight w:val="604"/>
        </w:trPr>
        <w:tc>
          <w:tcPr>
            <w:tcW w:w="566" w:type="dxa"/>
          </w:tcPr>
          <w:p w14:paraId="5F6A6278" w14:textId="77777777" w:rsidR="000E760B" w:rsidRPr="0018377E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14" w:type="dxa"/>
          </w:tcPr>
          <w:p w14:paraId="0F506DB6" w14:textId="77777777" w:rsidR="000E760B" w:rsidRPr="0018377E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45" w:type="dxa"/>
          </w:tcPr>
          <w:p w14:paraId="1B8DA9F9" w14:textId="6D2F933D" w:rsidR="000E760B" w:rsidRPr="0018377E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18377E" w14:paraId="02533499" w14:textId="77777777" w:rsidTr="0018377E">
        <w:trPr>
          <w:trHeight w:val="1035"/>
        </w:trPr>
        <w:tc>
          <w:tcPr>
            <w:tcW w:w="566" w:type="dxa"/>
          </w:tcPr>
          <w:p w14:paraId="3A6FEC1B" w14:textId="77777777" w:rsidR="002C0E76" w:rsidRPr="0018377E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14" w:type="dxa"/>
          </w:tcPr>
          <w:p w14:paraId="72C197D4" w14:textId="6F0152F8" w:rsidR="002C0E76" w:rsidRPr="0018377E" w:rsidRDefault="002C0E76" w:rsidP="00FE73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звернень)</w:t>
            </w:r>
          </w:p>
        </w:tc>
        <w:tc>
          <w:tcPr>
            <w:tcW w:w="5745" w:type="dxa"/>
            <w:vAlign w:val="center"/>
          </w:tcPr>
          <w:p w14:paraId="150CC29B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377E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18377E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18377E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8377E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18377E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8377E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18377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18377E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18377E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18377E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18377E" w14:paraId="1CF27176" w14:textId="77777777" w:rsidTr="0018377E">
        <w:trPr>
          <w:trHeight w:val="588"/>
        </w:trPr>
        <w:tc>
          <w:tcPr>
            <w:tcW w:w="566" w:type="dxa"/>
          </w:tcPr>
          <w:p w14:paraId="4D157001" w14:textId="77777777" w:rsidR="002C0E76" w:rsidRPr="0018377E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14" w:type="dxa"/>
          </w:tcPr>
          <w:p w14:paraId="44DCF461" w14:textId="658D8C4B" w:rsidR="002C0E76" w:rsidRPr="0018377E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1837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18377E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45" w:type="dxa"/>
            <w:vAlign w:val="center"/>
          </w:tcPr>
          <w:p w14:paraId="7BF5C7E6" w14:textId="7023D9D0" w:rsidR="006D7AB9" w:rsidRPr="0018377E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18377E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18377E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18377E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18377E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18377E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8377E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18377E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3BBE8402" w:rsidR="00BD3490" w:rsidRPr="0018377E" w:rsidRDefault="00BD3490" w:rsidP="00D352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18377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B80774" w14:paraId="64843B8E" w14:textId="77777777" w:rsidTr="0018377E">
        <w:trPr>
          <w:trHeight w:val="575"/>
        </w:trPr>
        <w:tc>
          <w:tcPr>
            <w:tcW w:w="566" w:type="dxa"/>
          </w:tcPr>
          <w:p w14:paraId="7935D2DB" w14:textId="3D926AAF" w:rsidR="00B858C3" w:rsidRPr="00437CD3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437CD3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20E70609" w14:textId="77777777" w:rsidR="00B858C3" w:rsidRPr="00437CD3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45" w:type="dxa"/>
          </w:tcPr>
          <w:p w14:paraId="547AE120" w14:textId="77777777" w:rsidR="00906F1A" w:rsidRPr="00437CD3" w:rsidRDefault="00906F1A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hyperlink r:id="rId8" w:anchor="Text" w:tgtFrame="_blank" w:history="1">
              <w:r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proofErr w:type="gramStart"/>
              <w:r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</w:t>
              </w:r>
              <w:proofErr w:type="gramEnd"/>
              <w:r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ро </w:t>
              </w:r>
              <w:proofErr w:type="spellStart"/>
              <w:r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безпечність</w:t>
              </w:r>
              <w:proofErr w:type="spellEnd"/>
              <w:r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та </w:t>
              </w:r>
              <w:proofErr w:type="spellStart"/>
              <w:r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гігієну</w:t>
              </w:r>
              <w:proofErr w:type="spellEnd"/>
              <w:r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кормів</w:t>
              </w:r>
              <w:proofErr w:type="spellEnd"/>
              <w:r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стаття</w:t>
              </w:r>
              <w:proofErr w:type="spellEnd"/>
              <w:r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14</w:t>
              </w:r>
            </w:hyperlink>
          </w:p>
          <w:p w14:paraId="3E8D6A78" w14:textId="091B6218" w:rsidR="00B858C3" w:rsidRPr="00437CD3" w:rsidRDefault="00AD2C85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anchor="Text" w:tgtFrame="_blank" w:history="1"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Закон </w:t>
              </w:r>
              <w:proofErr w:type="spellStart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України</w:t>
              </w:r>
              <w:proofErr w:type="spellEnd"/>
              <w:proofErr w:type="gramStart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</w:t>
              </w:r>
              <w:proofErr w:type="gramEnd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ро </w:t>
              </w:r>
              <w:proofErr w:type="spellStart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Перелік</w:t>
              </w:r>
              <w:proofErr w:type="spellEnd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документів</w:t>
              </w:r>
              <w:proofErr w:type="spellEnd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дозвільного</w:t>
              </w:r>
              <w:proofErr w:type="spellEnd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характеру у </w:t>
              </w:r>
              <w:proofErr w:type="spellStart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сфері</w:t>
              </w:r>
              <w:proofErr w:type="spellEnd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господарської</w:t>
              </w:r>
              <w:proofErr w:type="spellEnd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діяльності</w:t>
              </w:r>
              <w:proofErr w:type="spellEnd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пункт 155 </w:t>
              </w:r>
              <w:proofErr w:type="spellStart"/>
              <w:r w:rsidR="00906F1A" w:rsidRPr="00437CD3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Переліку</w:t>
              </w:r>
              <w:proofErr w:type="spellEnd"/>
            </w:hyperlink>
          </w:p>
          <w:p w14:paraId="47B6DC96" w14:textId="77777777" w:rsidR="00906F1A" w:rsidRPr="00437CD3" w:rsidRDefault="00906F1A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адм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іністративну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процедуру», ст. 9</w:t>
            </w:r>
          </w:p>
          <w:p w14:paraId="59DF3F17" w14:textId="4DC9DEF3" w:rsidR="00906F1A" w:rsidRPr="00437CD3" w:rsidRDefault="00906F1A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Закон України « Про адміністративні послуги»,  ст.8</w:t>
            </w:r>
          </w:p>
        </w:tc>
      </w:tr>
      <w:tr w:rsidR="00FD06C3" w:rsidRPr="00B80774" w14:paraId="37DDAEFC" w14:textId="77777777" w:rsidTr="0018377E">
        <w:trPr>
          <w:trHeight w:val="575"/>
        </w:trPr>
        <w:tc>
          <w:tcPr>
            <w:tcW w:w="566" w:type="dxa"/>
          </w:tcPr>
          <w:p w14:paraId="4B83FF8F" w14:textId="39FA3262" w:rsidR="00FD06C3" w:rsidRPr="00437CD3" w:rsidRDefault="00FD06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614" w:type="dxa"/>
          </w:tcPr>
          <w:p w14:paraId="21EFFB93" w14:textId="5992B9A6" w:rsidR="00FD06C3" w:rsidRPr="00437CD3" w:rsidRDefault="00FD06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Акти Кабінету Міністрів України</w:t>
            </w:r>
          </w:p>
        </w:tc>
        <w:tc>
          <w:tcPr>
            <w:tcW w:w="5745" w:type="dxa"/>
          </w:tcPr>
          <w:p w14:paraId="6DE69C46" w14:textId="77777777" w:rsidR="00906F1A" w:rsidRPr="00437CD3" w:rsidRDefault="00906F1A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t xml:space="preserve">Постанова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Кабінету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Міністрів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18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серпня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2021 року № 884 «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Деякі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Закону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гі</w:t>
            </w:r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ієну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»; постанова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Кабінету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Міністрів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20 лютого 2013 року № 118 «Про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Примірного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положення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центр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адміністративних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»; </w:t>
            </w:r>
          </w:p>
          <w:p w14:paraId="0E92FC17" w14:textId="43061268" w:rsidR="00FD06C3" w:rsidRPr="00437CD3" w:rsidRDefault="00906F1A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постанова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Кабінету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Міні</w:t>
            </w:r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стр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01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жовтня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2025 р. № 1226 «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Деякі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адміністративних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через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центри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надання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адміністративних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послуг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D06C3" w:rsidRPr="00B80774" w14:paraId="3C2CD3CD" w14:textId="77777777" w:rsidTr="00FD06C3">
        <w:trPr>
          <w:trHeight w:val="416"/>
        </w:trPr>
        <w:tc>
          <w:tcPr>
            <w:tcW w:w="566" w:type="dxa"/>
          </w:tcPr>
          <w:p w14:paraId="101F3893" w14:textId="390349C6" w:rsidR="00FD06C3" w:rsidRPr="00437CD3" w:rsidRDefault="00FD06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4.2</w:t>
            </w:r>
          </w:p>
        </w:tc>
        <w:tc>
          <w:tcPr>
            <w:tcW w:w="3614" w:type="dxa"/>
          </w:tcPr>
          <w:p w14:paraId="18CA14C1" w14:textId="0C65F25B" w:rsidR="00FD06C3" w:rsidRPr="00437CD3" w:rsidRDefault="00FD06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45" w:type="dxa"/>
          </w:tcPr>
          <w:p w14:paraId="1B8AF02E" w14:textId="1963EFB1" w:rsidR="00FD06C3" w:rsidRPr="00437CD3" w:rsidRDefault="00906F1A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t xml:space="preserve">Порядок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формування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ведення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Державного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реєстру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потужностей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обігу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затверджений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наказом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Мінагрополітики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06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травня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2019 року № 241 «Про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затвердження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деяких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нормативноправових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актів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безпечності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гі</w:t>
            </w:r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ієни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зареєстрований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Міністерстві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юстиції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19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липня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2019 року за № 807/33778</w:t>
            </w:r>
          </w:p>
        </w:tc>
      </w:tr>
      <w:tr w:rsidR="00BD3490" w:rsidRPr="00B80774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5CEC4C7A" w:rsidR="00BD3490" w:rsidRPr="00437CD3" w:rsidRDefault="00906F1A" w:rsidP="00906F1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FE2188" w:rsidRPr="00B80774" w14:paraId="41F3E876" w14:textId="77777777" w:rsidTr="0018377E">
        <w:trPr>
          <w:trHeight w:val="750"/>
        </w:trPr>
        <w:tc>
          <w:tcPr>
            <w:tcW w:w="566" w:type="dxa"/>
          </w:tcPr>
          <w:p w14:paraId="2C6EDA4D" w14:textId="727D6618" w:rsidR="00FE2188" w:rsidRPr="00437CD3" w:rsidRDefault="00FD06C3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14" w:type="dxa"/>
          </w:tcPr>
          <w:p w14:paraId="33B98D6C" w14:textId="77777777" w:rsidR="00FE2188" w:rsidRPr="00437CD3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45" w:type="dxa"/>
          </w:tcPr>
          <w:p w14:paraId="4F00F9F4" w14:textId="77777777" w:rsidR="00906F1A" w:rsidRPr="00437CD3" w:rsidRDefault="00906F1A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гі</w:t>
            </w:r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ієну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», ст. 14 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саме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дозвіл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призначена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для: </w:t>
            </w:r>
          </w:p>
          <w:p w14:paraId="58DD1E0D" w14:textId="77777777" w:rsidR="00FE2188" w:rsidRPr="00437CD3" w:rsidRDefault="00906F1A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t xml:space="preserve">1)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та/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обігу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поживних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добавок;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зоотехнічних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добавок;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технологічних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добавок, таких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антиоксиданти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лише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максимальним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встановленим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вмістом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);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сенсорних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добавок, таких як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барвники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лише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каротиноїди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ксантофіли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>);</w:t>
            </w:r>
          </w:p>
          <w:p w14:paraId="61758C51" w14:textId="77777777" w:rsidR="00906F1A" w:rsidRPr="00437CD3" w:rsidRDefault="00906F1A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протеїнів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отриманих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3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мікроорганізмів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належать до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Вичерпний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перелік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документів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необхідних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отримання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адм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іністративної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a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також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вимоги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 них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бактерій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дріжджів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водоростей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нижчих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грибів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крім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дріжджів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вирощених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на субстратах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тваринного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чи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рослинного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походження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побічних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продуктів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ід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амінокислот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шляхом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ферментації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14:paraId="6B17CF19" w14:textId="77777777" w:rsidR="00906F1A" w:rsidRPr="00437CD3" w:rsidRDefault="00906F1A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t xml:space="preserve">2)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та/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обігу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преміксів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виготовлених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використанням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зоотехнічних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добавок, таких як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ідсилювачі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росту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інші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зоотехнічні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добавки,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крім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підсилювачів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засвоюваності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стабілізаторів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кишкової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флори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речовин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сприятливо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впливають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навколишнє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природне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середовище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кокцидіостатиків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гістомоностатиків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поживних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добавок, таких як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вітаміни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провітаміни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речовини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встановленим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хімічним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складом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із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схожою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дією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лише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вітаміни</w:t>
            </w:r>
            <w:proofErr w:type="spellEnd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Д),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суміші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мікроелементів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лише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мідь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селен); </w:t>
            </w:r>
          </w:p>
          <w:p w14:paraId="6F198AEF" w14:textId="0B70D06C" w:rsidR="00906F1A" w:rsidRPr="00437CD3" w:rsidRDefault="00906F1A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3)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метою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введення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обіг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лише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власного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господарства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кормових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сумішей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використанням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кормових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добавок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преміксів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містять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зоотехнічні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добавки,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такі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як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ідсилювачі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росту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інші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зоотехнічні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добавки,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крім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підсилювачів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засвоюваності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стабілізаторів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кишкової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флори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речовин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які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сприятливо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впливають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навколишнє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природне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середовище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кокцидіостатики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істомоностатики</w:t>
            </w:r>
            <w:proofErr w:type="spellEnd"/>
          </w:p>
        </w:tc>
      </w:tr>
      <w:tr w:rsidR="00B858C3" w:rsidRPr="00B80774" w14:paraId="4589238C" w14:textId="77777777" w:rsidTr="0018377E">
        <w:trPr>
          <w:trHeight w:val="358"/>
        </w:trPr>
        <w:tc>
          <w:tcPr>
            <w:tcW w:w="566" w:type="dxa"/>
          </w:tcPr>
          <w:p w14:paraId="4529D79A" w14:textId="7A0EB787" w:rsidR="00B858C3" w:rsidRPr="00437CD3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  <w:r w:rsidR="00B858C3" w:rsidRPr="00437CD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140F586" w14:textId="77777777" w:rsidR="00B858C3" w:rsidRPr="00437CD3" w:rsidRDefault="00B858C3" w:rsidP="00981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45" w:type="dxa"/>
          </w:tcPr>
          <w:p w14:paraId="4F45D855" w14:textId="6269F14B" w:rsidR="00B858C3" w:rsidRPr="00437CD3" w:rsidRDefault="00906F1A" w:rsidP="00906F1A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t xml:space="preserve">Для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отримання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адм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іністративної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послуги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необхідно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подати до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територіального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органу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заяву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</w:p>
        </w:tc>
      </w:tr>
      <w:tr w:rsidR="00B858C3" w:rsidRPr="00B80774" w14:paraId="2FCF3BA6" w14:textId="77777777" w:rsidTr="0018377E">
        <w:trPr>
          <w:trHeight w:val="557"/>
        </w:trPr>
        <w:tc>
          <w:tcPr>
            <w:tcW w:w="566" w:type="dxa"/>
          </w:tcPr>
          <w:p w14:paraId="39259690" w14:textId="21E3B16E" w:rsidR="00B858C3" w:rsidRPr="00437CD3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858C3" w:rsidRPr="00437CD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20DF0F2" w14:textId="77777777" w:rsidR="00B858C3" w:rsidRPr="00437CD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45" w:type="dxa"/>
          </w:tcPr>
          <w:p w14:paraId="1BE15D91" w14:textId="4DDFB5C1" w:rsidR="00B858C3" w:rsidRPr="00437CD3" w:rsidRDefault="00906F1A" w:rsidP="00FD06C3">
            <w:pPr>
              <w:pStyle w:val="5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8"/>
                <w:szCs w:val="28"/>
                <w:lang w:val="uk-UA"/>
              </w:rPr>
            </w:pP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Заява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може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бути подана в </w:t>
            </w: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паперовій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або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електронній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формі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. </w:t>
            </w: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Подання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заяви в </w:t>
            </w: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електронній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формі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здійснюється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з </w:t>
            </w: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використанням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кваліфікованого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електронного</w:t>
            </w:r>
            <w:proofErr w:type="spell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п</w:t>
            </w:r>
            <w:proofErr w:type="gramEnd"/>
            <w:r w:rsidRPr="00437CD3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ідпису</w:t>
            </w:r>
            <w:proofErr w:type="spellEnd"/>
          </w:p>
        </w:tc>
      </w:tr>
      <w:tr w:rsidR="00B858C3" w:rsidRPr="00B80774" w14:paraId="35C380AE" w14:textId="77777777" w:rsidTr="0018377E">
        <w:trPr>
          <w:trHeight w:val="486"/>
        </w:trPr>
        <w:tc>
          <w:tcPr>
            <w:tcW w:w="566" w:type="dxa"/>
          </w:tcPr>
          <w:p w14:paraId="3C301D15" w14:textId="108EAA8F" w:rsidR="00B858C3" w:rsidRPr="00437CD3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 w:rsidR="00EE1624" w:rsidRPr="00437CD3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1CD876F0" w14:textId="69F127C3" w:rsidR="00B858C3" w:rsidRPr="00437CD3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  <w:r w:rsidR="00437CD3" w:rsidRPr="00437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</w:p>
        </w:tc>
        <w:tc>
          <w:tcPr>
            <w:tcW w:w="5745" w:type="dxa"/>
          </w:tcPr>
          <w:p w14:paraId="37579387" w14:textId="4FEE673F" w:rsidR="00B858C3" w:rsidRPr="00437CD3" w:rsidRDefault="00906F1A" w:rsidP="00AA7CE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t xml:space="preserve">Платно: за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</w:p>
        </w:tc>
      </w:tr>
      <w:tr w:rsidR="00B858C3" w:rsidRPr="00B80774" w14:paraId="713A37D2" w14:textId="77777777" w:rsidTr="0018377E">
        <w:trPr>
          <w:trHeight w:val="344"/>
        </w:trPr>
        <w:tc>
          <w:tcPr>
            <w:tcW w:w="566" w:type="dxa"/>
          </w:tcPr>
          <w:p w14:paraId="282C5680" w14:textId="4CBF3A97" w:rsidR="00B858C3" w:rsidRPr="00437CD3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8.1</w:t>
            </w:r>
          </w:p>
        </w:tc>
        <w:tc>
          <w:tcPr>
            <w:tcW w:w="3614" w:type="dxa"/>
          </w:tcPr>
          <w:p w14:paraId="47FF2452" w14:textId="23E9B60F" w:rsidR="00B858C3" w:rsidRPr="00437CD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t>Нормативно-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правові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акти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на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ідставі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яких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стягується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плата</w:t>
            </w:r>
          </w:p>
        </w:tc>
        <w:tc>
          <w:tcPr>
            <w:tcW w:w="5745" w:type="dxa"/>
          </w:tcPr>
          <w:p w14:paraId="222143FE" w14:textId="3C577098" w:rsidR="00B858C3" w:rsidRPr="00437CD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t xml:space="preserve">За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справляється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плата (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адм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іністративний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збір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зараховується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 державного бюджету та становить 0,17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розміру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мінімальної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заробітної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плати,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встановленої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законом на 1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січня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календарного року, в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якому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подано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заяву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поновлення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</w:p>
        </w:tc>
      </w:tr>
      <w:tr w:rsidR="00437CD3" w:rsidRPr="00B80774" w14:paraId="70EAFE9C" w14:textId="77777777" w:rsidTr="0018377E">
        <w:trPr>
          <w:trHeight w:val="344"/>
        </w:trPr>
        <w:tc>
          <w:tcPr>
            <w:tcW w:w="566" w:type="dxa"/>
          </w:tcPr>
          <w:p w14:paraId="0C2C957F" w14:textId="29D7ED7D" w:rsidR="00437CD3" w:rsidRPr="00437CD3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8.2</w:t>
            </w:r>
          </w:p>
        </w:tc>
        <w:tc>
          <w:tcPr>
            <w:tcW w:w="3614" w:type="dxa"/>
          </w:tcPr>
          <w:p w14:paraId="256FD8DE" w14:textId="34A6BD5E" w:rsidR="00437CD3" w:rsidRPr="00437CD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Розмі</w:t>
            </w:r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порядок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плати (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адміністративного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збору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) за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платну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адміністративну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послугу</w:t>
            </w:r>
            <w:proofErr w:type="spellEnd"/>
          </w:p>
        </w:tc>
        <w:tc>
          <w:tcPr>
            <w:tcW w:w="5745" w:type="dxa"/>
          </w:tcPr>
          <w:p w14:paraId="4EDF8B2C" w14:textId="7DA1700F" w:rsidR="00437CD3" w:rsidRPr="00437CD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t xml:space="preserve">Плата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зараховується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відповідного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бюджету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рахунки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відкриті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в органах Казначейства</w:t>
            </w:r>
          </w:p>
        </w:tc>
      </w:tr>
      <w:tr w:rsidR="00437CD3" w:rsidRPr="00B80774" w14:paraId="5A61DA83" w14:textId="77777777" w:rsidTr="0018377E">
        <w:trPr>
          <w:trHeight w:val="344"/>
        </w:trPr>
        <w:tc>
          <w:tcPr>
            <w:tcW w:w="566" w:type="dxa"/>
          </w:tcPr>
          <w:p w14:paraId="650BEE38" w14:textId="79C17A04" w:rsidR="00437CD3" w:rsidRPr="00437CD3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8.3</w:t>
            </w:r>
          </w:p>
        </w:tc>
        <w:tc>
          <w:tcPr>
            <w:tcW w:w="3614" w:type="dxa"/>
          </w:tcPr>
          <w:p w14:paraId="15BEB71C" w14:textId="22969232" w:rsidR="00437CD3" w:rsidRPr="00437CD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Розрахунковий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рахунок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плати</w:t>
            </w:r>
          </w:p>
        </w:tc>
        <w:tc>
          <w:tcPr>
            <w:tcW w:w="5745" w:type="dxa"/>
          </w:tcPr>
          <w:p w14:paraId="50835BB4" w14:textId="5E4E5C57" w:rsidR="00437CD3" w:rsidRPr="00437CD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37CD3">
              <w:rPr>
                <w:rFonts w:ascii="Times New Roman" w:hAnsi="Times New Roman"/>
                <w:sz w:val="28"/>
                <w:szCs w:val="28"/>
              </w:rPr>
              <w:t xml:space="preserve">Плата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зараховується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до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відповідного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бюджету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рахунки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відкриті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в органах Казначейства</w:t>
            </w:r>
          </w:p>
        </w:tc>
      </w:tr>
      <w:tr w:rsidR="00437CD3" w:rsidRPr="00B80774" w14:paraId="65A4C77D" w14:textId="77777777" w:rsidTr="0018377E">
        <w:trPr>
          <w:trHeight w:val="344"/>
        </w:trPr>
        <w:tc>
          <w:tcPr>
            <w:tcW w:w="566" w:type="dxa"/>
          </w:tcPr>
          <w:p w14:paraId="430F86A2" w14:textId="271E0EE2" w:rsidR="00437CD3" w:rsidRPr="00437CD3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3614" w:type="dxa"/>
          </w:tcPr>
          <w:p w14:paraId="45ACD25D" w14:textId="472DB5F7" w:rsidR="00437CD3" w:rsidRPr="00437CD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45" w:type="dxa"/>
          </w:tcPr>
          <w:p w14:paraId="120F07A4" w14:textId="1F0FC9B1" w:rsidR="00437CD3" w:rsidRPr="00437CD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прийняття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ішення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здійснюється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територіальним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органом компетентного органу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30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календарних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днів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дня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ним заяви 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. Не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ізніше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15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календарних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днів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дня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реєстрації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територіальним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органом компетентного органу заяви 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lastRenderedPageBreak/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державний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ветеринарний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інспектор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проводить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інспектування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зазначеної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заяві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за результатами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якого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визначається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відповідність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вимогам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корми.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Якщо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за результатами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інспектування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встановлено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відповідає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вимогам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корми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лише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щодо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інфраструктури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обладнання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>, на</w:t>
            </w: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таку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компетентний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орган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видає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тимчасовий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дозвіл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строком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на три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місяці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Якщо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повторного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інспектування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проведеного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трьох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місяців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дня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ідтвердять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відповідність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всім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вимогам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про корми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компетентний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орган повинен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видати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таку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дозвіл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необмежений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строк.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Якщо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результати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такого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інспектування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св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ідчать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те,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оператор ринку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усунув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окремі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невідповідності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вимогам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корми, але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все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ще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не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відповідає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усім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вимогам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зазначеного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компетентний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орган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може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продовжити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строк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дії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 шести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місяців</w:t>
            </w:r>
            <w:proofErr w:type="spellEnd"/>
          </w:p>
        </w:tc>
      </w:tr>
      <w:tr w:rsidR="00437CD3" w:rsidRPr="00B80774" w14:paraId="4B404351" w14:textId="77777777" w:rsidTr="0018377E">
        <w:trPr>
          <w:trHeight w:val="705"/>
        </w:trPr>
        <w:tc>
          <w:tcPr>
            <w:tcW w:w="566" w:type="dxa"/>
          </w:tcPr>
          <w:p w14:paraId="617C573E" w14:textId="57219064" w:rsidR="00437CD3" w:rsidRPr="00437CD3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614" w:type="dxa"/>
          </w:tcPr>
          <w:p w14:paraId="7A2BCB59" w14:textId="77777777" w:rsidR="00437CD3" w:rsidRPr="00437CD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45" w:type="dxa"/>
          </w:tcPr>
          <w:p w14:paraId="0BE780AE" w14:textId="7A29F923" w:rsidR="00437CD3" w:rsidRPr="00437CD3" w:rsidRDefault="00437CD3" w:rsidP="00FD06C3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Підставою для відмови у видачі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є: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заяві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y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інформації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що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вимагається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відповідно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частини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третьої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статті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14 Закону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гігієну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»; 2)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виявлення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заяві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недостовірних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відомостей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; 3)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невідповідність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потужності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вимогам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законодавства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корми,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крім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випадку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передбаченому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частиною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сьомою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статті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статті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14 Закону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гігієну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437CD3" w:rsidRPr="00B80774" w14:paraId="3D6CE34D" w14:textId="77777777" w:rsidTr="0018377E">
        <w:trPr>
          <w:trHeight w:val="655"/>
        </w:trPr>
        <w:tc>
          <w:tcPr>
            <w:tcW w:w="566" w:type="dxa"/>
          </w:tcPr>
          <w:p w14:paraId="7B63456D" w14:textId="37A68565" w:rsidR="00437CD3" w:rsidRPr="00437CD3" w:rsidRDefault="00437CD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11.</w:t>
            </w:r>
          </w:p>
        </w:tc>
        <w:tc>
          <w:tcPr>
            <w:tcW w:w="3614" w:type="dxa"/>
          </w:tcPr>
          <w:p w14:paraId="2A6B5FFC" w14:textId="77777777" w:rsidR="00437CD3" w:rsidRPr="00437CD3" w:rsidRDefault="00437CD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5" w:type="dxa"/>
          </w:tcPr>
          <w:p w14:paraId="6FF8F8C7" w14:textId="2F332801" w:rsidR="00437CD3" w:rsidRPr="00437CD3" w:rsidRDefault="00437CD3" w:rsidP="0018377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Виконання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статті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14 Закону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гі</w:t>
            </w:r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ієну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»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залежно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поданої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заяви: 1.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2.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тимчасового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3.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Відмова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</w:p>
        </w:tc>
      </w:tr>
      <w:tr w:rsidR="00437CD3" w:rsidRPr="00B80774" w14:paraId="16F4662A" w14:textId="77777777" w:rsidTr="0018377E">
        <w:trPr>
          <w:trHeight w:val="645"/>
        </w:trPr>
        <w:tc>
          <w:tcPr>
            <w:tcW w:w="566" w:type="dxa"/>
          </w:tcPr>
          <w:p w14:paraId="1558E84D" w14:textId="793E6517" w:rsidR="00437CD3" w:rsidRPr="00437CD3" w:rsidRDefault="00437CD3" w:rsidP="00FD06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3614" w:type="dxa"/>
          </w:tcPr>
          <w:p w14:paraId="0ED497F6" w14:textId="77777777" w:rsidR="00437CD3" w:rsidRPr="00437CD3" w:rsidRDefault="00437CD3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45" w:type="dxa"/>
          </w:tcPr>
          <w:p w14:paraId="0CD65E82" w14:textId="219AB0B8" w:rsidR="00437CD3" w:rsidRPr="00437CD3" w:rsidRDefault="00437CD3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здійснюються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протягом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п'яти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робочих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днів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ісля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отримання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територіальним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органом компетентного органу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підтвердження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внесення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відповідної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плати (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адміністративного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збору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).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дозвіл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видається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особисто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оператору ринку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або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надсилається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йому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поштовим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відправленням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у строк,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встановлений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але не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ізніше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трьох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робочих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днів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дня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прийняття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Копія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ішення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відмову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повинна бути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надана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надіслана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поштовим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відправленням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) оператору ринку в строк,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встановлений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для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але не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пізніше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трьох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робочих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днів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дня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прийняття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такого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</w:p>
        </w:tc>
      </w:tr>
      <w:tr w:rsidR="00437CD3" w:rsidRPr="00B80774" w14:paraId="1D152911" w14:textId="77777777" w:rsidTr="0018377E">
        <w:trPr>
          <w:trHeight w:val="645"/>
        </w:trPr>
        <w:tc>
          <w:tcPr>
            <w:tcW w:w="566" w:type="dxa"/>
          </w:tcPr>
          <w:p w14:paraId="085D1DB6" w14:textId="7175200B" w:rsidR="00437CD3" w:rsidRPr="00437CD3" w:rsidRDefault="00437CD3" w:rsidP="00FD06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</w:p>
        </w:tc>
        <w:tc>
          <w:tcPr>
            <w:tcW w:w="3614" w:type="dxa"/>
          </w:tcPr>
          <w:p w14:paraId="774996AC" w14:textId="3B357A1B" w:rsidR="00437CD3" w:rsidRPr="00437CD3" w:rsidRDefault="00437CD3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37CD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Примітка </w:t>
            </w:r>
          </w:p>
        </w:tc>
        <w:tc>
          <w:tcPr>
            <w:tcW w:w="5745" w:type="dxa"/>
          </w:tcPr>
          <w:p w14:paraId="5D26303B" w14:textId="07980BEA" w:rsidR="00437CD3" w:rsidRPr="00437CD3" w:rsidRDefault="00437CD3" w:rsidP="0072712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Відповідно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статті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14 Закону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гі</w:t>
            </w:r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ієну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» та постанови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Кабінету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Міністрів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18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серпня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2021 року № 884 «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Деякі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питання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реалізації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Закону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України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«Про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безпечність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гігієну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встановлено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: 1.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Одночасно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видачею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поновленням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437CD3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437CD3">
              <w:rPr>
                <w:rFonts w:ascii="Times New Roman" w:hAnsi="Times New Roman"/>
                <w:sz w:val="28"/>
                <w:szCs w:val="28"/>
              </w:rPr>
              <w:t>ісля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прийняття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рішення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експлуатаційного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дозволу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, але не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пізніше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дня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його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видачі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надсилання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) оператору ринку)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територіальний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орган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Держпродспоживслужби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відомості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про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таку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потужність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відповідного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оператора ринку вносить та до Державного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реєстру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потужностей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з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виробництва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обігу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37CD3">
              <w:rPr>
                <w:rFonts w:ascii="Times New Roman" w:hAnsi="Times New Roman"/>
                <w:sz w:val="28"/>
                <w:szCs w:val="28"/>
              </w:rPr>
              <w:t>кормів</w:t>
            </w:r>
            <w:proofErr w:type="spellEnd"/>
            <w:r w:rsidRPr="00437CD3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1FA08724" w14:textId="57BCC622" w:rsidR="00FD06C3" w:rsidRPr="00906F1A" w:rsidRDefault="00906F1A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  <w:lang w:val="uk-UA"/>
        </w:rPr>
      </w:pPr>
      <w:r>
        <w:rPr>
          <w:color w:val="212529"/>
          <w:sz w:val="28"/>
          <w:szCs w:val="28"/>
          <w:lang w:val="uk-UA"/>
        </w:rPr>
        <w:t xml:space="preserve"> </w:t>
      </w:r>
    </w:p>
    <w:p w14:paraId="390010EE" w14:textId="77777777" w:rsidR="003B1A90" w:rsidRPr="00B80774" w:rsidRDefault="003B1A90" w:rsidP="0018377E">
      <w:pPr>
        <w:pStyle w:val="5"/>
        <w:shd w:val="clear" w:color="auto" w:fill="FFFFFF"/>
        <w:spacing w:before="0" w:after="240"/>
        <w:rPr>
          <w:rFonts w:ascii="Times New Roman" w:hAnsi="Times New Roman"/>
          <w:sz w:val="28"/>
          <w:szCs w:val="28"/>
          <w:lang w:val="uk-UA"/>
        </w:rPr>
      </w:pPr>
    </w:p>
    <w:sectPr w:rsidR="003B1A90" w:rsidRPr="00B80774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862BFD" w14:textId="77777777" w:rsidR="00AD2C85" w:rsidRDefault="00AD2C85" w:rsidP="002C0E76">
      <w:r>
        <w:separator/>
      </w:r>
    </w:p>
  </w:endnote>
  <w:endnote w:type="continuationSeparator" w:id="0">
    <w:p w14:paraId="63F5B41F" w14:textId="77777777" w:rsidR="00AD2C85" w:rsidRDefault="00AD2C85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3B8A2B" w14:textId="77777777" w:rsidR="00AD2C85" w:rsidRDefault="00AD2C85" w:rsidP="002C0E76">
      <w:r>
        <w:separator/>
      </w:r>
    </w:p>
  </w:footnote>
  <w:footnote w:type="continuationSeparator" w:id="0">
    <w:p w14:paraId="4A2F8437" w14:textId="77777777" w:rsidR="00AD2C85" w:rsidRDefault="00AD2C85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A5604"/>
    <w:rsid w:val="000B46D8"/>
    <w:rsid w:val="000D055E"/>
    <w:rsid w:val="000D27B6"/>
    <w:rsid w:val="000E0A99"/>
    <w:rsid w:val="000E6E31"/>
    <w:rsid w:val="000E760B"/>
    <w:rsid w:val="000F6276"/>
    <w:rsid w:val="00135434"/>
    <w:rsid w:val="0018377E"/>
    <w:rsid w:val="001E79BB"/>
    <w:rsid w:val="002522C9"/>
    <w:rsid w:val="002601B2"/>
    <w:rsid w:val="002604BB"/>
    <w:rsid w:val="00281CA2"/>
    <w:rsid w:val="002C0E76"/>
    <w:rsid w:val="002D3CAA"/>
    <w:rsid w:val="00345D98"/>
    <w:rsid w:val="003513DD"/>
    <w:rsid w:val="003A7B55"/>
    <w:rsid w:val="003B1A90"/>
    <w:rsid w:val="003B5999"/>
    <w:rsid w:val="003D434F"/>
    <w:rsid w:val="003E7B7F"/>
    <w:rsid w:val="003F31C5"/>
    <w:rsid w:val="00437CD3"/>
    <w:rsid w:val="00464CE0"/>
    <w:rsid w:val="00472B58"/>
    <w:rsid w:val="00473EA2"/>
    <w:rsid w:val="004D77B1"/>
    <w:rsid w:val="00501290"/>
    <w:rsid w:val="00514903"/>
    <w:rsid w:val="005151DD"/>
    <w:rsid w:val="00551951"/>
    <w:rsid w:val="00574ABA"/>
    <w:rsid w:val="00602E15"/>
    <w:rsid w:val="006114D9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93B6B"/>
    <w:rsid w:val="007B2C40"/>
    <w:rsid w:val="007C6B54"/>
    <w:rsid w:val="008009AA"/>
    <w:rsid w:val="00810A23"/>
    <w:rsid w:val="00813745"/>
    <w:rsid w:val="0082583C"/>
    <w:rsid w:val="008331D2"/>
    <w:rsid w:val="00841FC1"/>
    <w:rsid w:val="0088106E"/>
    <w:rsid w:val="00891574"/>
    <w:rsid w:val="008A1BD7"/>
    <w:rsid w:val="008D2090"/>
    <w:rsid w:val="008E49E6"/>
    <w:rsid w:val="008E53E5"/>
    <w:rsid w:val="008F7A08"/>
    <w:rsid w:val="009041EE"/>
    <w:rsid w:val="00904FB1"/>
    <w:rsid w:val="00906F1A"/>
    <w:rsid w:val="00931C23"/>
    <w:rsid w:val="00970996"/>
    <w:rsid w:val="009770CC"/>
    <w:rsid w:val="00981B3F"/>
    <w:rsid w:val="009B1A3B"/>
    <w:rsid w:val="009D452A"/>
    <w:rsid w:val="009D5F34"/>
    <w:rsid w:val="009E7A75"/>
    <w:rsid w:val="00A02C4D"/>
    <w:rsid w:val="00A0686D"/>
    <w:rsid w:val="00A07175"/>
    <w:rsid w:val="00A26B13"/>
    <w:rsid w:val="00A71197"/>
    <w:rsid w:val="00A811F9"/>
    <w:rsid w:val="00A829D8"/>
    <w:rsid w:val="00AA63B2"/>
    <w:rsid w:val="00AA7CE7"/>
    <w:rsid w:val="00AD2C85"/>
    <w:rsid w:val="00B17E10"/>
    <w:rsid w:val="00B355A4"/>
    <w:rsid w:val="00B40E25"/>
    <w:rsid w:val="00B725F1"/>
    <w:rsid w:val="00B80774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83615"/>
    <w:rsid w:val="00CA08EA"/>
    <w:rsid w:val="00CF44E7"/>
    <w:rsid w:val="00D01B82"/>
    <w:rsid w:val="00D06BB6"/>
    <w:rsid w:val="00D1434F"/>
    <w:rsid w:val="00D35295"/>
    <w:rsid w:val="00D43FD0"/>
    <w:rsid w:val="00D52438"/>
    <w:rsid w:val="00D71971"/>
    <w:rsid w:val="00D72155"/>
    <w:rsid w:val="00D72723"/>
    <w:rsid w:val="00D77628"/>
    <w:rsid w:val="00D94591"/>
    <w:rsid w:val="00D9697A"/>
    <w:rsid w:val="00DE341E"/>
    <w:rsid w:val="00DF3347"/>
    <w:rsid w:val="00E16FC9"/>
    <w:rsid w:val="00E32103"/>
    <w:rsid w:val="00E37B4D"/>
    <w:rsid w:val="00E50099"/>
    <w:rsid w:val="00E64595"/>
    <w:rsid w:val="00E946E6"/>
    <w:rsid w:val="00EE1624"/>
    <w:rsid w:val="00EF38D8"/>
    <w:rsid w:val="00EF51D5"/>
    <w:rsid w:val="00F230F2"/>
    <w:rsid w:val="00F64B8E"/>
    <w:rsid w:val="00F670EB"/>
    <w:rsid w:val="00F67FB4"/>
    <w:rsid w:val="00F76F05"/>
    <w:rsid w:val="00FB3117"/>
    <w:rsid w:val="00FD06C3"/>
    <w:rsid w:val="00FD2370"/>
    <w:rsid w:val="00FD4E1F"/>
    <w:rsid w:val="00FE2188"/>
    <w:rsid w:val="00FE71A3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300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5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9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2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1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5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46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5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9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21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471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8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64-1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3392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5674</Words>
  <Characters>3235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30</cp:revision>
  <cp:lastPrinted>2025-01-15T10:34:00Z</cp:lastPrinted>
  <dcterms:created xsi:type="dcterms:W3CDTF">2023-11-16T13:35:00Z</dcterms:created>
  <dcterms:modified xsi:type="dcterms:W3CDTF">2026-01-14T09:42:00Z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