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2457F" w14:textId="0C54151C" w:rsidR="006A4DEA" w:rsidRDefault="006A4DEA" w:rsidP="006A4DEA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</w:t>
      </w:r>
      <w:r>
        <w:rPr>
          <w:b/>
          <w:color w:val="000000" w:themeColor="text1"/>
          <w:sz w:val="28"/>
          <w:szCs w:val="28"/>
        </w:rPr>
        <w:t>ЗАТВЕРДЖЕН</w:t>
      </w:r>
      <w:r>
        <w:rPr>
          <w:color w:val="000000" w:themeColor="text1"/>
          <w:sz w:val="28"/>
          <w:szCs w:val="28"/>
        </w:rPr>
        <w:t>О</w:t>
      </w:r>
    </w:p>
    <w:p w14:paraId="6050CC50" w14:textId="77777777" w:rsidR="006A4DEA" w:rsidRDefault="006A4DEA" w:rsidP="006A4DE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>ішенням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сесії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Рогатинської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міської</w:t>
      </w:r>
      <w:proofErr w:type="spellEnd"/>
      <w:r>
        <w:rPr>
          <w:color w:val="000000" w:themeColor="text1"/>
          <w:sz w:val="28"/>
          <w:szCs w:val="28"/>
        </w:rPr>
        <w:t xml:space="preserve"> ради</w:t>
      </w:r>
    </w:p>
    <w:p w14:paraId="16BAF53A" w14:textId="2B95B4C4" w:rsidR="006A4DEA" w:rsidRDefault="006A4DEA" w:rsidP="006A4DEA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 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  69 </w:t>
      </w:r>
      <w:proofErr w:type="spellStart"/>
      <w:r>
        <w:rPr>
          <w:color w:val="000000" w:themeColor="text1"/>
          <w:sz w:val="28"/>
          <w:szCs w:val="28"/>
        </w:rPr>
        <w:t>сесія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val="en-US"/>
        </w:rPr>
        <w:t>VIII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скликання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 xml:space="preserve"> 29.01.2026</w:t>
      </w:r>
    </w:p>
    <w:p w14:paraId="4EEDCA80" w14:textId="77777777" w:rsidR="0088106E" w:rsidRPr="00FD237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18377E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2370">
        <w:rPr>
          <w:rFonts w:ascii="Times New Roman" w:hAnsi="Times New Roman"/>
          <w:b/>
          <w:sz w:val="28"/>
          <w:szCs w:val="28"/>
          <w:lang w:val="uk-UA"/>
        </w:rPr>
        <w:t>ІНФ</w:t>
      </w:r>
      <w:r w:rsidRPr="0018377E">
        <w:rPr>
          <w:rFonts w:ascii="Times New Roman" w:hAnsi="Times New Roman"/>
          <w:b/>
          <w:sz w:val="28"/>
          <w:szCs w:val="28"/>
          <w:lang w:val="uk-UA"/>
        </w:rPr>
        <w:t>ОРМАЦІЙНА КАРТКА АДМІНІСТРАТИВНОЇ ПОСЛУГИ</w:t>
      </w:r>
    </w:p>
    <w:p w14:paraId="72C84887" w14:textId="334E9475" w:rsidR="002D3CAA" w:rsidRPr="00FD06C3" w:rsidRDefault="009B1A3B" w:rsidP="005151DD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FD06C3">
        <w:rPr>
          <w:rFonts w:ascii="Times New Roman" w:hAnsi="Times New Roman"/>
          <w:b/>
          <w:sz w:val="32"/>
          <w:szCs w:val="32"/>
          <w:u w:val="single"/>
          <w:lang w:val="uk-UA"/>
        </w:rPr>
        <w:t>0</w:t>
      </w:r>
      <w:r w:rsidR="00FD06C3" w:rsidRPr="00FD06C3">
        <w:rPr>
          <w:rFonts w:ascii="Times New Roman" w:hAnsi="Times New Roman"/>
          <w:b/>
          <w:sz w:val="32"/>
          <w:szCs w:val="32"/>
          <w:u w:val="single"/>
          <w:lang w:val="uk-UA"/>
        </w:rPr>
        <w:t>0654</w:t>
      </w:r>
    </w:p>
    <w:p w14:paraId="089349B3" w14:textId="7C681BBD" w:rsidR="009B1A3B" w:rsidRPr="00FD06C3" w:rsidRDefault="0018377E" w:rsidP="005151D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D06C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FD06C3" w:rsidRPr="00FD06C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Видача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експлуатаційного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дозволу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для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потужностей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об’єктів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) з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переробки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неї</w:t>
      </w:r>
      <w:proofErr w:type="gram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ст</w:t>
      </w:r>
      <w:proofErr w:type="gram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івних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продуктів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тваринного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походження</w:t>
      </w:r>
      <w:proofErr w:type="spellEnd"/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18377E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18377E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18377E" w14:paraId="24BE7A8B" w14:textId="77777777" w:rsidTr="0018377E">
        <w:trPr>
          <w:trHeight w:val="604"/>
        </w:trPr>
        <w:tc>
          <w:tcPr>
            <w:tcW w:w="566" w:type="dxa"/>
          </w:tcPr>
          <w:p w14:paraId="5F6A6278" w14:textId="77777777" w:rsidR="000E760B" w:rsidRPr="0018377E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14" w:type="dxa"/>
          </w:tcPr>
          <w:p w14:paraId="0F506DB6" w14:textId="77777777" w:rsidR="000E760B" w:rsidRPr="0018377E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45" w:type="dxa"/>
          </w:tcPr>
          <w:p w14:paraId="1B8DA9F9" w14:textId="6D2F933D" w:rsidR="000E760B" w:rsidRPr="0018377E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18377E" w14:paraId="02533499" w14:textId="77777777" w:rsidTr="0018377E">
        <w:trPr>
          <w:trHeight w:val="1035"/>
        </w:trPr>
        <w:tc>
          <w:tcPr>
            <w:tcW w:w="566" w:type="dxa"/>
          </w:tcPr>
          <w:p w14:paraId="3A6FEC1B" w14:textId="77777777" w:rsidR="002C0E76" w:rsidRPr="0018377E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14" w:type="dxa"/>
          </w:tcPr>
          <w:p w14:paraId="72C197D4" w14:textId="6F0152F8" w:rsidR="002C0E76" w:rsidRPr="0018377E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45" w:type="dxa"/>
            <w:vAlign w:val="center"/>
          </w:tcPr>
          <w:p w14:paraId="150CC29B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18377E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18377E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377E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18377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18377E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377E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18377E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18377E" w14:paraId="1CF27176" w14:textId="77777777" w:rsidTr="0018377E">
        <w:trPr>
          <w:trHeight w:val="588"/>
        </w:trPr>
        <w:tc>
          <w:tcPr>
            <w:tcW w:w="566" w:type="dxa"/>
          </w:tcPr>
          <w:p w14:paraId="4D157001" w14:textId="77777777" w:rsidR="002C0E76" w:rsidRPr="0018377E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14" w:type="dxa"/>
          </w:tcPr>
          <w:p w14:paraId="44DCF461" w14:textId="658D8C4B" w:rsidR="002C0E76" w:rsidRPr="0018377E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45" w:type="dxa"/>
            <w:vAlign w:val="center"/>
          </w:tcPr>
          <w:p w14:paraId="7BF5C7E6" w14:textId="7023D9D0" w:rsidR="006D7AB9" w:rsidRPr="0018377E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18377E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18377E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8377E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18377E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3BBE8402" w:rsidR="00BD3490" w:rsidRPr="0018377E" w:rsidRDefault="00BD3490" w:rsidP="00D352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B80774" w14:paraId="64843B8E" w14:textId="77777777" w:rsidTr="0018377E">
        <w:trPr>
          <w:trHeight w:val="575"/>
        </w:trPr>
        <w:tc>
          <w:tcPr>
            <w:tcW w:w="566" w:type="dxa"/>
          </w:tcPr>
          <w:p w14:paraId="7935D2DB" w14:textId="3D926AAF" w:rsidR="00B858C3" w:rsidRPr="00B80774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B8077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0E70609" w14:textId="77777777" w:rsidR="00B858C3" w:rsidRPr="00B80774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45" w:type="dxa"/>
          </w:tcPr>
          <w:p w14:paraId="3F9402A1" w14:textId="77777777" w:rsidR="00FD06C3" w:rsidRPr="00B80774" w:rsidRDefault="00FD06C3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8" w:tgtFrame="_blank" w:history="1">
              <w:r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proofErr w:type="gramStart"/>
              <w:r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адм</w:t>
              </w:r>
              <w:proofErr w:type="gramEnd"/>
              <w:r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іністративні</w:t>
              </w:r>
              <w:proofErr w:type="spellEnd"/>
              <w:r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послуги</w:t>
              </w:r>
              <w:proofErr w:type="spellEnd"/>
              <w:r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8</w:t>
              </w:r>
            </w:hyperlink>
          </w:p>
          <w:p w14:paraId="31742DCC" w14:textId="77777777" w:rsidR="00FD06C3" w:rsidRPr="00B80774" w:rsidRDefault="00165309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tgtFrame="_blank" w:history="1"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Перелі</w:t>
              </w:r>
              <w:proofErr w:type="gram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</w:t>
              </w:r>
              <w:proofErr w:type="spellEnd"/>
              <w:proofErr w:type="gram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документ</w:t>
              </w:r>
              <w:proofErr w:type="gram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ів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дозвільного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характеру у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сфері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господарської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</w:t>
              </w:r>
            </w:hyperlink>
            <w:r w:rsidR="00FD06C3" w:rsidRPr="00B80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9210641" w14:textId="77777777" w:rsidR="00FD06C3" w:rsidRPr="00B80774" w:rsidRDefault="00165309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tgtFrame="_blank" w:history="1"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дозвільну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систему у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сфері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господарської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</w:t>
              </w:r>
            </w:hyperlink>
          </w:p>
          <w:p w14:paraId="59DF3F17" w14:textId="22F99C78" w:rsidR="00B858C3" w:rsidRPr="00B80774" w:rsidRDefault="00165309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tgtFrame="_blank" w:history="1"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ветеринарну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медицину"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статті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50-53</w:t>
              </w:r>
            </w:hyperlink>
          </w:p>
        </w:tc>
      </w:tr>
      <w:tr w:rsidR="00FD06C3" w:rsidRPr="00B80774" w14:paraId="37DDAEFC" w14:textId="77777777" w:rsidTr="0018377E">
        <w:trPr>
          <w:trHeight w:val="575"/>
        </w:trPr>
        <w:tc>
          <w:tcPr>
            <w:tcW w:w="566" w:type="dxa"/>
          </w:tcPr>
          <w:p w14:paraId="4B83FF8F" w14:textId="39FA3262" w:rsidR="00FD06C3" w:rsidRPr="00B80774" w:rsidRDefault="00FD06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614" w:type="dxa"/>
          </w:tcPr>
          <w:p w14:paraId="21EFFB93" w14:textId="5992B9A6" w:rsidR="00FD06C3" w:rsidRPr="00B80774" w:rsidRDefault="00FD06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45" w:type="dxa"/>
          </w:tcPr>
          <w:p w14:paraId="04D080A7" w14:textId="77777777" w:rsidR="00FD06C3" w:rsidRPr="00B80774" w:rsidRDefault="00165309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tgtFrame="_blank" w:history="1">
              <w:r w:rsidR="00FD06C3" w:rsidRPr="00B80774">
                <w:rPr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br/>
              </w:r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20.02.2013 №118 "Про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Примірного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положення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про центр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адм</w:t>
              </w:r>
              <w:proofErr w:type="gram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іністративних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  <w:p w14:paraId="44F9AD3F" w14:textId="77777777" w:rsidR="00FD06C3" w:rsidRPr="00B80774" w:rsidRDefault="00165309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3" w:tgtFrame="_blank" w:history="1"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05.11.2008 №978 "Про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видачі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експлуатаційного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дозволу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  <w:p w14:paraId="0E92FC17" w14:textId="39782467" w:rsidR="00FD06C3" w:rsidRPr="00B80774" w:rsidRDefault="00165309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4" w:tgtFrame="_blank" w:history="1"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Розпорядження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КМУ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16.05.2014 №523-р </w:t>
              </w:r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"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адм</w:t>
              </w:r>
              <w:proofErr w:type="gram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іністративних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органів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виконавчої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влади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через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центри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адміністративних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</w:tc>
      </w:tr>
      <w:tr w:rsidR="00FD06C3" w:rsidRPr="00B80774" w14:paraId="3C2CD3CD" w14:textId="77777777" w:rsidTr="00FD06C3">
        <w:trPr>
          <w:trHeight w:val="416"/>
        </w:trPr>
        <w:tc>
          <w:tcPr>
            <w:tcW w:w="566" w:type="dxa"/>
          </w:tcPr>
          <w:p w14:paraId="101F3893" w14:textId="390349C6" w:rsidR="00FD06C3" w:rsidRPr="00B80774" w:rsidRDefault="00FD06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4.2</w:t>
            </w:r>
          </w:p>
        </w:tc>
        <w:tc>
          <w:tcPr>
            <w:tcW w:w="3614" w:type="dxa"/>
          </w:tcPr>
          <w:p w14:paraId="18CA14C1" w14:textId="0C65F25B" w:rsidR="00FD06C3" w:rsidRPr="00B80774" w:rsidRDefault="00FD06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45" w:type="dxa"/>
          </w:tcPr>
          <w:p w14:paraId="1B8AF02E" w14:textId="6E5E95F8" w:rsidR="00FD06C3" w:rsidRPr="00B80774" w:rsidRDefault="00165309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5" w:tgtFrame="_blank" w:history="1"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Наказ ЦОВВ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від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22.11.2010 №517 Наказ Державного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комітету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ветеринарної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медицини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України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Про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затвердження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Порядку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ведення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реє</w:t>
              </w:r>
              <w:proofErr w:type="gram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стр</w:t>
              </w:r>
              <w:proofErr w:type="gram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ів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потужностей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(</w:t>
              </w:r>
              <w:proofErr w:type="spellStart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об'єктів</w:t>
              </w:r>
              <w:proofErr w:type="spellEnd"/>
              <w:r w:rsidR="00FD06C3" w:rsidRPr="00B80774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)</w:t>
              </w:r>
            </w:hyperlink>
          </w:p>
        </w:tc>
      </w:tr>
      <w:tr w:rsidR="00BD3490" w:rsidRPr="00B80774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B8077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B80774" w14:paraId="41F3E876" w14:textId="77777777" w:rsidTr="0018377E">
        <w:trPr>
          <w:trHeight w:val="750"/>
        </w:trPr>
        <w:tc>
          <w:tcPr>
            <w:tcW w:w="566" w:type="dxa"/>
          </w:tcPr>
          <w:p w14:paraId="2C6EDA4D" w14:textId="727D6618" w:rsidR="00FE2188" w:rsidRPr="00B80774" w:rsidRDefault="00FD06C3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14" w:type="dxa"/>
          </w:tcPr>
          <w:p w14:paraId="33B98D6C" w14:textId="77777777" w:rsidR="00FE2188" w:rsidRPr="00B80774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5" w:type="dxa"/>
          </w:tcPr>
          <w:p w14:paraId="6F198AEF" w14:textId="2A3D0C2C" w:rsidR="00FE2188" w:rsidRPr="00B80774" w:rsidRDefault="00FD06C3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Експлуатаційний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дозвіл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видається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потужності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об'єкти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 у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разі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провадження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виробництва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обігу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неї</w:t>
            </w:r>
            <w:proofErr w:type="gram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ст</w:t>
            </w:r>
            <w:proofErr w:type="gram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івних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продуктів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тваринного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походження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виробництва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змішування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 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приготування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лікувальних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кормів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Дозвіл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видається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провадження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визначених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власником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потужностях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об'єктах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розташовані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однією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B858C3" w:rsidRPr="00B80774" w14:paraId="4589238C" w14:textId="77777777" w:rsidTr="0018377E">
        <w:trPr>
          <w:trHeight w:val="358"/>
        </w:trPr>
        <w:tc>
          <w:tcPr>
            <w:tcW w:w="566" w:type="dxa"/>
          </w:tcPr>
          <w:p w14:paraId="4529D79A" w14:textId="7A0EB787" w:rsidR="00B858C3" w:rsidRPr="00B80774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858C3" w:rsidRPr="00B80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140F586" w14:textId="77777777" w:rsidR="00B858C3" w:rsidRPr="00B80774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45" w:type="dxa"/>
          </w:tcPr>
          <w:p w14:paraId="585A8228" w14:textId="62715A6E" w:rsidR="00FD06C3" w:rsidRPr="00FD06C3" w:rsidRDefault="00FD06C3" w:rsidP="00FD06C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B8077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</w:t>
            </w:r>
            <w:r w:rsidRPr="00FD06C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Заява про видачу експлуатаційного дозволу</w:t>
            </w:r>
          </w:p>
          <w:p w14:paraId="23403032" w14:textId="35B1009D" w:rsidR="00FD06C3" w:rsidRPr="00FD06C3" w:rsidRDefault="00FD06C3" w:rsidP="00FD06C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B8077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</w:t>
            </w:r>
            <w:r w:rsidRPr="00FD06C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Довідка про здатність провадити відповідну діяльність</w:t>
            </w:r>
          </w:p>
          <w:p w14:paraId="7085A4B6" w14:textId="235CAEF7" w:rsidR="00FD06C3" w:rsidRPr="00FD06C3" w:rsidRDefault="00FD06C3" w:rsidP="00FD06C3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B8077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3.</w:t>
            </w:r>
            <w:r w:rsidRPr="00FD06C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Перелік неїстівних продуктів тваринного походження</w:t>
            </w:r>
          </w:p>
          <w:p w14:paraId="4F45D855" w14:textId="70D76A26" w:rsidR="00B858C3" w:rsidRPr="00B80774" w:rsidRDefault="00FD06C3" w:rsidP="00FD06C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4.</w:t>
            </w:r>
            <w:r w:rsidRPr="00FD06C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Перелік лікувальних кормів</w:t>
            </w:r>
          </w:p>
        </w:tc>
      </w:tr>
      <w:tr w:rsidR="00B858C3" w:rsidRPr="00B80774" w14:paraId="2FCF3BA6" w14:textId="77777777" w:rsidTr="0018377E">
        <w:trPr>
          <w:trHeight w:val="557"/>
        </w:trPr>
        <w:tc>
          <w:tcPr>
            <w:tcW w:w="566" w:type="dxa"/>
          </w:tcPr>
          <w:p w14:paraId="39259690" w14:textId="21E3B16E" w:rsidR="00B858C3" w:rsidRPr="00B80774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B80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20DF0F2" w14:textId="77777777" w:rsidR="00B858C3" w:rsidRPr="00B8077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45" w:type="dxa"/>
          </w:tcPr>
          <w:p w14:paraId="0F091702" w14:textId="77777777" w:rsidR="00FD06C3" w:rsidRPr="00B80774" w:rsidRDefault="00FD06C3" w:rsidP="00FD06C3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електронною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1BE15D91" w14:textId="03713D87" w:rsidR="00B858C3" w:rsidRPr="00B80774" w:rsidRDefault="00FD06C3" w:rsidP="00FD06C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  <w:r w:rsidRPr="00B8077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  <w:lang w:val="uk-UA"/>
              </w:rPr>
              <w:t>.</w:t>
            </w:r>
          </w:p>
        </w:tc>
      </w:tr>
      <w:tr w:rsidR="00B858C3" w:rsidRPr="00B80774" w14:paraId="35C380AE" w14:textId="77777777" w:rsidTr="0018377E">
        <w:trPr>
          <w:trHeight w:val="486"/>
        </w:trPr>
        <w:tc>
          <w:tcPr>
            <w:tcW w:w="566" w:type="dxa"/>
          </w:tcPr>
          <w:p w14:paraId="3C301D15" w14:textId="108EAA8F" w:rsidR="00B858C3" w:rsidRPr="00B80774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E1624" w:rsidRPr="00B80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1CD876F0" w14:textId="77777777" w:rsidR="00B858C3" w:rsidRPr="00B8077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45" w:type="dxa"/>
          </w:tcPr>
          <w:p w14:paraId="37579387" w14:textId="5D44F0F4" w:rsidR="00B858C3" w:rsidRPr="00B80774" w:rsidRDefault="00FD06C3" w:rsidP="00AA7CE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B858C3" w:rsidRPr="00B80774" w14:paraId="713A37D2" w14:textId="77777777" w:rsidTr="0018377E">
        <w:trPr>
          <w:trHeight w:val="344"/>
        </w:trPr>
        <w:tc>
          <w:tcPr>
            <w:tcW w:w="566" w:type="dxa"/>
          </w:tcPr>
          <w:p w14:paraId="282C5680" w14:textId="1C19D679" w:rsidR="00B858C3" w:rsidRPr="00B80774" w:rsidRDefault="00FD06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B80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47FF2452" w14:textId="77777777" w:rsidR="00B858C3" w:rsidRPr="00B8077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45" w:type="dxa"/>
          </w:tcPr>
          <w:p w14:paraId="222143FE" w14:textId="3650EB84" w:rsidR="00B858C3" w:rsidRPr="00B80774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30 днів (календарні)</w:t>
            </w:r>
          </w:p>
        </w:tc>
      </w:tr>
      <w:tr w:rsidR="00B858C3" w:rsidRPr="00B80774" w14:paraId="4B404351" w14:textId="77777777" w:rsidTr="0018377E">
        <w:trPr>
          <w:trHeight w:val="705"/>
        </w:trPr>
        <w:tc>
          <w:tcPr>
            <w:tcW w:w="566" w:type="dxa"/>
          </w:tcPr>
          <w:p w14:paraId="617C573E" w14:textId="57219064" w:rsidR="00B858C3" w:rsidRPr="00B80774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D06C3" w:rsidRPr="00B8077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A2BCB59" w14:textId="77777777" w:rsidR="00B858C3" w:rsidRPr="00B8077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45" w:type="dxa"/>
          </w:tcPr>
          <w:p w14:paraId="1A876FC4" w14:textId="039582C5" w:rsidR="00FD06C3" w:rsidRPr="00FD06C3" w:rsidRDefault="00FD06C3" w:rsidP="00FD06C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B8077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</w:t>
            </w:r>
            <w:r w:rsidRPr="00FD06C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</w:t>
            </w:r>
          </w:p>
          <w:p w14:paraId="58D76F91" w14:textId="6A6F5EBD" w:rsidR="00FD06C3" w:rsidRPr="00FD06C3" w:rsidRDefault="00FD06C3" w:rsidP="00FD06C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B8077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</w:t>
            </w:r>
            <w:r w:rsidRPr="00FD06C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Виявлення в документах, поданих суб'єктом господарювання, недостовірних відомостей</w:t>
            </w:r>
          </w:p>
          <w:p w14:paraId="0BE780AE" w14:textId="06B1042C" w:rsidR="00B858C3" w:rsidRPr="00B80774" w:rsidRDefault="00FD06C3" w:rsidP="00FD06C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3.</w:t>
            </w:r>
            <w:r w:rsidRPr="00FD06C3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</w:t>
            </w:r>
          </w:p>
        </w:tc>
      </w:tr>
      <w:tr w:rsidR="00B858C3" w:rsidRPr="00B80774" w14:paraId="3D6CE34D" w14:textId="77777777" w:rsidTr="0018377E">
        <w:trPr>
          <w:trHeight w:val="655"/>
        </w:trPr>
        <w:tc>
          <w:tcPr>
            <w:tcW w:w="566" w:type="dxa"/>
          </w:tcPr>
          <w:p w14:paraId="7B63456D" w14:textId="37A68565" w:rsidR="00B858C3" w:rsidRPr="00B80774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FD06C3" w:rsidRPr="00B8077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A6B5FFC" w14:textId="77777777" w:rsidR="00B858C3" w:rsidRPr="00B8077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5" w:type="dxa"/>
          </w:tcPr>
          <w:p w14:paraId="6FF8F8C7" w14:textId="0005B1D4" w:rsidR="00B858C3" w:rsidRPr="00B80774" w:rsidRDefault="00FD06C3" w:rsidP="0018377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Експлуатаційний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дозвіл</w:t>
            </w:r>
            <w:proofErr w:type="spellEnd"/>
          </w:p>
        </w:tc>
      </w:tr>
      <w:tr w:rsidR="0072712E" w:rsidRPr="00B80774" w14:paraId="16F4662A" w14:textId="77777777" w:rsidTr="0018377E">
        <w:trPr>
          <w:trHeight w:val="645"/>
        </w:trPr>
        <w:tc>
          <w:tcPr>
            <w:tcW w:w="566" w:type="dxa"/>
          </w:tcPr>
          <w:p w14:paraId="1558E84D" w14:textId="793E6517" w:rsidR="0072712E" w:rsidRPr="00B80774" w:rsidRDefault="0072712E" w:rsidP="00FD06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D06C3" w:rsidRPr="00B8077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0ED497F6" w14:textId="77777777" w:rsidR="0072712E" w:rsidRPr="00B80774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0774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5" w:type="dxa"/>
          </w:tcPr>
          <w:p w14:paraId="0CD65E82" w14:textId="435526E3" w:rsidR="0072712E" w:rsidRPr="00B80774" w:rsidRDefault="00FD06C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B8077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50144212" w14:textId="77777777" w:rsidR="00FD06C3" w:rsidRPr="00B80774" w:rsidRDefault="00FD06C3" w:rsidP="00FD06C3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proofErr w:type="spellStart"/>
      <w:r w:rsidRPr="00B80774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B80774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B80774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B80774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B80774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34378A0D" w14:textId="77777777" w:rsidR="00FD06C3" w:rsidRPr="00B80774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B80774">
        <w:rPr>
          <w:color w:val="212529"/>
          <w:sz w:val="28"/>
          <w:szCs w:val="28"/>
        </w:rPr>
        <w:t>Експлуатаційний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дозвіл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видається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потужності</w:t>
      </w:r>
      <w:proofErr w:type="spellEnd"/>
      <w:r w:rsidRPr="00B80774">
        <w:rPr>
          <w:color w:val="212529"/>
          <w:sz w:val="28"/>
          <w:szCs w:val="28"/>
        </w:rPr>
        <w:t xml:space="preserve"> (</w:t>
      </w:r>
      <w:proofErr w:type="spellStart"/>
      <w:r w:rsidRPr="00B80774">
        <w:rPr>
          <w:color w:val="212529"/>
          <w:sz w:val="28"/>
          <w:szCs w:val="28"/>
        </w:rPr>
        <w:t>об'єкти</w:t>
      </w:r>
      <w:proofErr w:type="spellEnd"/>
      <w:r w:rsidRPr="00B80774">
        <w:rPr>
          <w:color w:val="212529"/>
          <w:sz w:val="28"/>
          <w:szCs w:val="28"/>
        </w:rPr>
        <w:t xml:space="preserve">) у </w:t>
      </w:r>
      <w:proofErr w:type="spellStart"/>
      <w:r w:rsidRPr="00B80774">
        <w:rPr>
          <w:color w:val="212529"/>
          <w:sz w:val="28"/>
          <w:szCs w:val="28"/>
        </w:rPr>
        <w:t>разі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провадження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діяльності</w:t>
      </w:r>
      <w:proofErr w:type="spellEnd"/>
      <w:r w:rsidRPr="00B80774">
        <w:rPr>
          <w:color w:val="212529"/>
          <w:sz w:val="28"/>
          <w:szCs w:val="28"/>
        </w:rPr>
        <w:t xml:space="preserve"> з </w:t>
      </w:r>
      <w:proofErr w:type="spellStart"/>
      <w:r w:rsidRPr="00B80774">
        <w:rPr>
          <w:color w:val="212529"/>
          <w:sz w:val="28"/>
          <w:szCs w:val="28"/>
        </w:rPr>
        <w:t>виробництва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обігу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неїстівних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продуктів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тваринного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походження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або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виробництва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змішування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приготування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лікувальних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кормів</w:t>
      </w:r>
      <w:proofErr w:type="spellEnd"/>
      <w:r w:rsidRPr="00B80774">
        <w:rPr>
          <w:color w:val="212529"/>
          <w:sz w:val="28"/>
          <w:szCs w:val="28"/>
        </w:rPr>
        <w:t>.</w:t>
      </w:r>
      <w:proofErr w:type="gramEnd"/>
      <w:r w:rsidRPr="00B8077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B80774">
        <w:rPr>
          <w:color w:val="212529"/>
          <w:sz w:val="28"/>
          <w:szCs w:val="28"/>
        </w:rPr>
        <w:t>Дозвіл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видається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для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провадження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діяльності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визначених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власником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потужностях</w:t>
      </w:r>
      <w:proofErr w:type="spellEnd"/>
      <w:r w:rsidRPr="00B80774">
        <w:rPr>
          <w:color w:val="212529"/>
          <w:sz w:val="28"/>
          <w:szCs w:val="28"/>
        </w:rPr>
        <w:t xml:space="preserve"> (</w:t>
      </w:r>
      <w:proofErr w:type="spellStart"/>
      <w:r w:rsidRPr="00B80774">
        <w:rPr>
          <w:color w:val="212529"/>
          <w:sz w:val="28"/>
          <w:szCs w:val="28"/>
        </w:rPr>
        <w:t>об'єктах</w:t>
      </w:r>
      <w:proofErr w:type="spellEnd"/>
      <w:r w:rsidRPr="00B80774">
        <w:rPr>
          <w:color w:val="212529"/>
          <w:sz w:val="28"/>
          <w:szCs w:val="28"/>
        </w:rPr>
        <w:t xml:space="preserve">), </w:t>
      </w:r>
      <w:proofErr w:type="spellStart"/>
      <w:r w:rsidRPr="00B80774">
        <w:rPr>
          <w:color w:val="212529"/>
          <w:sz w:val="28"/>
          <w:szCs w:val="28"/>
        </w:rPr>
        <w:t>що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розташовані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однією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адресою</w:t>
      </w:r>
      <w:proofErr w:type="spellEnd"/>
      <w:r w:rsidRPr="00B80774">
        <w:rPr>
          <w:color w:val="212529"/>
          <w:sz w:val="28"/>
          <w:szCs w:val="28"/>
        </w:rPr>
        <w:t>.</w:t>
      </w:r>
      <w:proofErr w:type="gramEnd"/>
      <w:r w:rsidRPr="00B80774">
        <w:rPr>
          <w:color w:val="212529"/>
          <w:sz w:val="28"/>
          <w:szCs w:val="28"/>
        </w:rPr>
        <w:t> </w:t>
      </w:r>
    </w:p>
    <w:p w14:paraId="51B7E293" w14:textId="77777777" w:rsidR="00FD06C3" w:rsidRPr="00B80774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167BF0AE" w14:textId="77777777" w:rsidR="00FD06C3" w:rsidRPr="00B80774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B80774">
        <w:rPr>
          <w:color w:val="212529"/>
          <w:sz w:val="28"/>
          <w:szCs w:val="28"/>
        </w:rPr>
        <w:t>Оператори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потужностей</w:t>
      </w:r>
      <w:proofErr w:type="spellEnd"/>
      <w:r w:rsidRPr="00B80774">
        <w:rPr>
          <w:color w:val="212529"/>
          <w:sz w:val="28"/>
          <w:szCs w:val="28"/>
        </w:rPr>
        <w:t xml:space="preserve"> (</w:t>
      </w:r>
      <w:proofErr w:type="spellStart"/>
      <w:r w:rsidRPr="00B80774">
        <w:rPr>
          <w:color w:val="212529"/>
          <w:sz w:val="28"/>
          <w:szCs w:val="28"/>
        </w:rPr>
        <w:t>об'єктів</w:t>
      </w:r>
      <w:proofErr w:type="spellEnd"/>
      <w:r w:rsidRPr="00B80774">
        <w:rPr>
          <w:color w:val="212529"/>
          <w:sz w:val="28"/>
          <w:szCs w:val="28"/>
        </w:rPr>
        <w:t xml:space="preserve">), </w:t>
      </w:r>
      <w:proofErr w:type="spellStart"/>
      <w:r w:rsidRPr="00B80774">
        <w:rPr>
          <w:color w:val="212529"/>
          <w:sz w:val="28"/>
          <w:szCs w:val="28"/>
        </w:rPr>
        <w:t>які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провадять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діяльність</w:t>
      </w:r>
      <w:proofErr w:type="spellEnd"/>
      <w:r w:rsidRPr="00B80774">
        <w:rPr>
          <w:color w:val="212529"/>
          <w:sz w:val="28"/>
          <w:szCs w:val="28"/>
        </w:rPr>
        <w:t xml:space="preserve"> з </w:t>
      </w:r>
      <w:proofErr w:type="spellStart"/>
      <w:r w:rsidRPr="00B80774">
        <w:rPr>
          <w:color w:val="212529"/>
          <w:sz w:val="28"/>
          <w:szCs w:val="28"/>
        </w:rPr>
        <w:t>виробництва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змішування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приготування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кормів</w:t>
      </w:r>
      <w:proofErr w:type="spellEnd"/>
      <w:r w:rsidRPr="00B80774">
        <w:rPr>
          <w:color w:val="212529"/>
          <w:sz w:val="28"/>
          <w:szCs w:val="28"/>
        </w:rPr>
        <w:t xml:space="preserve"> з </w:t>
      </w:r>
      <w:proofErr w:type="spellStart"/>
      <w:r w:rsidRPr="00B80774">
        <w:rPr>
          <w:color w:val="212529"/>
          <w:sz w:val="28"/>
          <w:szCs w:val="28"/>
        </w:rPr>
        <w:t>використанням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м'ясо-кісткового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борошна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інших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продуктів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від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жуйних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тварин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що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можуть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спричинити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захворювання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тварин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губчастоподібну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енцефалопатію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або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її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іншу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форму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що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передається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повинні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мати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окрему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потужність</w:t>
      </w:r>
      <w:proofErr w:type="spellEnd"/>
      <w:r w:rsidRPr="00B80774">
        <w:rPr>
          <w:color w:val="212529"/>
          <w:sz w:val="28"/>
          <w:szCs w:val="28"/>
        </w:rPr>
        <w:t xml:space="preserve"> (</w:t>
      </w:r>
      <w:proofErr w:type="spellStart"/>
      <w:r w:rsidRPr="00B80774">
        <w:rPr>
          <w:color w:val="212529"/>
          <w:sz w:val="28"/>
          <w:szCs w:val="28"/>
        </w:rPr>
        <w:t>об'єкт</w:t>
      </w:r>
      <w:proofErr w:type="spellEnd"/>
      <w:r w:rsidRPr="00B80774">
        <w:rPr>
          <w:color w:val="212529"/>
          <w:sz w:val="28"/>
          <w:szCs w:val="28"/>
        </w:rPr>
        <w:t xml:space="preserve">)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отримати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експлуатаційний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дозвіл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на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провадження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такої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діяльності</w:t>
      </w:r>
      <w:proofErr w:type="spellEnd"/>
      <w:r w:rsidRPr="00B80774">
        <w:rPr>
          <w:color w:val="212529"/>
          <w:sz w:val="28"/>
          <w:szCs w:val="28"/>
        </w:rPr>
        <w:t xml:space="preserve"> з </w:t>
      </w:r>
      <w:proofErr w:type="spellStart"/>
      <w:r w:rsidRPr="00B80774">
        <w:rPr>
          <w:color w:val="212529"/>
          <w:sz w:val="28"/>
          <w:szCs w:val="28"/>
        </w:rPr>
        <w:t>метою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запобігання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перехресному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зараженню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кормів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призначених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для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жуйних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тварин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зазначених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продуктів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від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жуйних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тварин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мінімізації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ризику</w:t>
      </w:r>
      <w:proofErr w:type="spellEnd"/>
      <w:r w:rsidRPr="00B80774">
        <w:rPr>
          <w:color w:val="212529"/>
          <w:sz w:val="28"/>
          <w:szCs w:val="28"/>
        </w:rPr>
        <w:t xml:space="preserve"> в </w:t>
      </w:r>
      <w:proofErr w:type="spellStart"/>
      <w:r w:rsidRPr="00B80774">
        <w:rPr>
          <w:color w:val="212529"/>
          <w:sz w:val="28"/>
          <w:szCs w:val="28"/>
        </w:rPr>
        <w:t>разі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ненавмисного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включення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таких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продуктів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складу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даних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кормів</w:t>
      </w:r>
      <w:proofErr w:type="spellEnd"/>
      <w:r w:rsidRPr="00B80774">
        <w:rPr>
          <w:color w:val="212529"/>
          <w:sz w:val="28"/>
          <w:szCs w:val="28"/>
        </w:rPr>
        <w:t>.</w:t>
      </w:r>
    </w:p>
    <w:p w14:paraId="722343F8" w14:textId="77777777" w:rsidR="00FD06C3" w:rsidRPr="00B80774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B80774">
        <w:rPr>
          <w:color w:val="212529"/>
          <w:sz w:val="28"/>
          <w:szCs w:val="28"/>
        </w:rPr>
        <w:t>Умовою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для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видачі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експлуатаційного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дозволу</w:t>
      </w:r>
      <w:proofErr w:type="spellEnd"/>
      <w:r w:rsidRPr="00B80774">
        <w:rPr>
          <w:color w:val="212529"/>
          <w:sz w:val="28"/>
          <w:szCs w:val="28"/>
        </w:rPr>
        <w:t xml:space="preserve"> є </w:t>
      </w:r>
      <w:proofErr w:type="spellStart"/>
      <w:r w:rsidRPr="00B80774">
        <w:rPr>
          <w:color w:val="212529"/>
          <w:sz w:val="28"/>
          <w:szCs w:val="28"/>
        </w:rPr>
        <w:t>дотримання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оператором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потужностей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положень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Закону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України</w:t>
      </w:r>
      <w:proofErr w:type="spellEnd"/>
      <w:r w:rsidRPr="00B80774">
        <w:rPr>
          <w:color w:val="212529"/>
          <w:sz w:val="28"/>
          <w:szCs w:val="28"/>
        </w:rPr>
        <w:t xml:space="preserve"> "</w:t>
      </w:r>
      <w:proofErr w:type="spellStart"/>
      <w:r w:rsidRPr="00B80774">
        <w:rPr>
          <w:color w:val="212529"/>
          <w:sz w:val="28"/>
          <w:szCs w:val="28"/>
        </w:rPr>
        <w:t>Про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ветеринарну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медицину</w:t>
      </w:r>
      <w:proofErr w:type="spellEnd"/>
      <w:r w:rsidRPr="00B80774">
        <w:rPr>
          <w:color w:val="212529"/>
          <w:sz w:val="28"/>
          <w:szCs w:val="28"/>
        </w:rPr>
        <w:t xml:space="preserve">", </w:t>
      </w:r>
      <w:proofErr w:type="spellStart"/>
      <w:r w:rsidRPr="00B80774">
        <w:rPr>
          <w:color w:val="212529"/>
          <w:sz w:val="28"/>
          <w:szCs w:val="28"/>
        </w:rPr>
        <w:t>ветеринарно-санітарних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заходів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технічних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регламентів</w:t>
      </w:r>
      <w:proofErr w:type="spellEnd"/>
      <w:r w:rsidRPr="00B80774">
        <w:rPr>
          <w:color w:val="212529"/>
          <w:sz w:val="28"/>
          <w:szCs w:val="28"/>
        </w:rPr>
        <w:t>.</w:t>
      </w:r>
      <w:proofErr w:type="gramEnd"/>
      <w:r w:rsidRPr="00B80774">
        <w:rPr>
          <w:color w:val="212529"/>
          <w:sz w:val="28"/>
          <w:szCs w:val="28"/>
        </w:rPr>
        <w:t> </w:t>
      </w:r>
    </w:p>
    <w:p w14:paraId="0DCBBF5D" w14:textId="77777777" w:rsidR="00FD06C3" w:rsidRPr="00B80774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B80774">
        <w:rPr>
          <w:color w:val="212529"/>
          <w:sz w:val="28"/>
          <w:szCs w:val="28"/>
        </w:rPr>
        <w:t>Для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отримання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експлуатаційного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дозволу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юридична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особа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або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фізична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особа</w:t>
      </w:r>
      <w:proofErr w:type="spellEnd"/>
      <w:r w:rsidRPr="00B80774">
        <w:rPr>
          <w:color w:val="212529"/>
          <w:sz w:val="28"/>
          <w:szCs w:val="28"/>
        </w:rPr>
        <w:t xml:space="preserve"> - </w:t>
      </w:r>
      <w:proofErr w:type="spellStart"/>
      <w:r w:rsidRPr="00B80774">
        <w:rPr>
          <w:color w:val="212529"/>
          <w:sz w:val="28"/>
          <w:szCs w:val="28"/>
        </w:rPr>
        <w:t>підприємець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подає</w:t>
      </w:r>
      <w:proofErr w:type="spellEnd"/>
      <w:r w:rsidRPr="00B80774">
        <w:rPr>
          <w:color w:val="212529"/>
          <w:sz w:val="28"/>
          <w:szCs w:val="28"/>
        </w:rPr>
        <w:t xml:space="preserve"> в </w:t>
      </w:r>
      <w:proofErr w:type="spellStart"/>
      <w:r w:rsidRPr="00B80774">
        <w:rPr>
          <w:color w:val="212529"/>
          <w:sz w:val="28"/>
          <w:szCs w:val="28"/>
        </w:rPr>
        <w:t>дозвільний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центр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заяву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до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якої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додається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довідка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здатність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провадити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відповідну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діяльність</w:t>
      </w:r>
      <w:proofErr w:type="spellEnd"/>
      <w:r w:rsidRPr="00B80774">
        <w:rPr>
          <w:color w:val="212529"/>
          <w:sz w:val="28"/>
          <w:szCs w:val="28"/>
        </w:rPr>
        <w:t xml:space="preserve">, в </w:t>
      </w:r>
      <w:proofErr w:type="spellStart"/>
      <w:r w:rsidRPr="00B80774">
        <w:rPr>
          <w:color w:val="212529"/>
          <w:sz w:val="28"/>
          <w:szCs w:val="28"/>
        </w:rPr>
        <w:t>якій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зазначається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інформація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наявність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кваліфікованого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персоналу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технологічного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обладнання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перелік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товарів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що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виготовляються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або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реалізуються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за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підписом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такої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особи</w:t>
      </w:r>
      <w:proofErr w:type="spellEnd"/>
      <w:r w:rsidRPr="00B80774">
        <w:rPr>
          <w:color w:val="212529"/>
          <w:sz w:val="28"/>
          <w:szCs w:val="28"/>
        </w:rPr>
        <w:t xml:space="preserve">, а </w:t>
      </w:r>
      <w:proofErr w:type="spellStart"/>
      <w:r w:rsidRPr="00B80774">
        <w:rPr>
          <w:color w:val="212529"/>
          <w:sz w:val="28"/>
          <w:szCs w:val="28"/>
        </w:rPr>
        <w:t>також</w:t>
      </w:r>
      <w:proofErr w:type="spellEnd"/>
      <w:r w:rsidRPr="00B80774">
        <w:rPr>
          <w:color w:val="212529"/>
          <w:sz w:val="28"/>
          <w:szCs w:val="28"/>
        </w:rPr>
        <w:t xml:space="preserve"> у </w:t>
      </w:r>
      <w:proofErr w:type="spellStart"/>
      <w:r w:rsidRPr="00B80774">
        <w:rPr>
          <w:color w:val="212529"/>
          <w:sz w:val="28"/>
          <w:szCs w:val="28"/>
        </w:rPr>
        <w:t>разі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провадження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діяльності</w:t>
      </w:r>
      <w:proofErr w:type="spellEnd"/>
      <w:r w:rsidRPr="00B80774">
        <w:rPr>
          <w:color w:val="212529"/>
          <w:sz w:val="28"/>
          <w:szCs w:val="28"/>
        </w:rPr>
        <w:t xml:space="preserve"> з: </w:t>
      </w:r>
    </w:p>
    <w:p w14:paraId="5C791B77" w14:textId="77777777" w:rsidR="00FD06C3" w:rsidRPr="00B80774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B80774">
        <w:rPr>
          <w:color w:val="212529"/>
          <w:sz w:val="28"/>
          <w:szCs w:val="28"/>
        </w:rPr>
        <w:t>переробки</w:t>
      </w:r>
      <w:proofErr w:type="spellEnd"/>
      <w:proofErr w:type="gram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неїстівних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продуктів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тваринного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походження</w:t>
      </w:r>
      <w:proofErr w:type="spellEnd"/>
      <w:r w:rsidRPr="00B80774">
        <w:rPr>
          <w:color w:val="212529"/>
          <w:sz w:val="28"/>
          <w:szCs w:val="28"/>
        </w:rPr>
        <w:t xml:space="preserve"> - </w:t>
      </w:r>
      <w:proofErr w:type="spellStart"/>
      <w:r w:rsidRPr="00B80774">
        <w:rPr>
          <w:color w:val="212529"/>
          <w:sz w:val="28"/>
          <w:szCs w:val="28"/>
        </w:rPr>
        <w:t>перелік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таких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продуктів</w:t>
      </w:r>
      <w:proofErr w:type="spellEnd"/>
      <w:r w:rsidRPr="00B80774">
        <w:rPr>
          <w:color w:val="212529"/>
          <w:sz w:val="28"/>
          <w:szCs w:val="28"/>
        </w:rPr>
        <w:t>; </w:t>
      </w:r>
    </w:p>
    <w:p w14:paraId="2D1F856A" w14:textId="77777777" w:rsidR="00FD06C3" w:rsidRPr="00B80774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B80774">
        <w:rPr>
          <w:color w:val="212529"/>
          <w:sz w:val="28"/>
          <w:szCs w:val="28"/>
        </w:rPr>
        <w:t>виробництва</w:t>
      </w:r>
      <w:proofErr w:type="spellEnd"/>
      <w:proofErr w:type="gram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змішування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приготування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лікувальних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кормів</w:t>
      </w:r>
      <w:proofErr w:type="spellEnd"/>
      <w:r w:rsidRPr="00B80774">
        <w:rPr>
          <w:color w:val="212529"/>
          <w:sz w:val="28"/>
          <w:szCs w:val="28"/>
        </w:rPr>
        <w:t xml:space="preserve"> - </w:t>
      </w:r>
      <w:proofErr w:type="spellStart"/>
      <w:r w:rsidRPr="00B80774">
        <w:rPr>
          <w:color w:val="212529"/>
          <w:sz w:val="28"/>
          <w:szCs w:val="28"/>
        </w:rPr>
        <w:t>перелік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таких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лікувальних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кормів</w:t>
      </w:r>
      <w:proofErr w:type="spellEnd"/>
      <w:r w:rsidRPr="00B80774">
        <w:rPr>
          <w:color w:val="212529"/>
          <w:sz w:val="28"/>
          <w:szCs w:val="28"/>
        </w:rPr>
        <w:t>. </w:t>
      </w:r>
    </w:p>
    <w:p w14:paraId="24045C4B" w14:textId="77777777" w:rsidR="00FD06C3" w:rsidRPr="00B80774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B80774">
        <w:rPr>
          <w:color w:val="212529"/>
          <w:sz w:val="28"/>
          <w:szCs w:val="28"/>
        </w:rPr>
        <w:t>Заява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документи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що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додаються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неї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подаються</w:t>
      </w:r>
      <w:proofErr w:type="spellEnd"/>
      <w:r w:rsidRPr="00B80774">
        <w:rPr>
          <w:color w:val="212529"/>
          <w:sz w:val="28"/>
          <w:szCs w:val="28"/>
        </w:rPr>
        <w:t xml:space="preserve"> в </w:t>
      </w:r>
      <w:proofErr w:type="spellStart"/>
      <w:r w:rsidRPr="00B80774">
        <w:rPr>
          <w:color w:val="212529"/>
          <w:sz w:val="28"/>
          <w:szCs w:val="28"/>
        </w:rPr>
        <w:t>одному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примірнику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особисто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керівником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юридичної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особи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або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фізичною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особою</w:t>
      </w:r>
      <w:proofErr w:type="spellEnd"/>
      <w:r w:rsidRPr="00B80774">
        <w:rPr>
          <w:color w:val="212529"/>
          <w:sz w:val="28"/>
          <w:szCs w:val="28"/>
        </w:rPr>
        <w:t xml:space="preserve"> - </w:t>
      </w:r>
      <w:proofErr w:type="spellStart"/>
      <w:r w:rsidRPr="00B80774">
        <w:rPr>
          <w:color w:val="212529"/>
          <w:sz w:val="28"/>
          <w:szCs w:val="28"/>
        </w:rPr>
        <w:t>підприємцем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чи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уповноваженою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особою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або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надсилаються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рекомендованим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листом</w:t>
      </w:r>
      <w:proofErr w:type="spellEnd"/>
      <w:r w:rsidRPr="00B80774">
        <w:rPr>
          <w:color w:val="212529"/>
          <w:sz w:val="28"/>
          <w:szCs w:val="28"/>
        </w:rPr>
        <w:t xml:space="preserve"> з </w:t>
      </w:r>
      <w:proofErr w:type="spellStart"/>
      <w:r w:rsidRPr="00B80774">
        <w:rPr>
          <w:color w:val="212529"/>
          <w:sz w:val="28"/>
          <w:szCs w:val="28"/>
        </w:rPr>
        <w:t>описом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вкладення</w:t>
      </w:r>
      <w:proofErr w:type="spellEnd"/>
      <w:r w:rsidRPr="00B80774">
        <w:rPr>
          <w:color w:val="212529"/>
          <w:sz w:val="28"/>
          <w:szCs w:val="28"/>
        </w:rPr>
        <w:t>.</w:t>
      </w:r>
      <w:proofErr w:type="gram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Заява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отримання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адміністративної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послуги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може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подаватись</w:t>
      </w:r>
      <w:proofErr w:type="spellEnd"/>
      <w:r w:rsidRPr="00B80774">
        <w:rPr>
          <w:color w:val="212529"/>
          <w:sz w:val="28"/>
          <w:szCs w:val="28"/>
        </w:rPr>
        <w:t xml:space="preserve"> у </w:t>
      </w:r>
      <w:proofErr w:type="spellStart"/>
      <w:r w:rsidRPr="00B80774">
        <w:rPr>
          <w:color w:val="212529"/>
          <w:sz w:val="28"/>
          <w:szCs w:val="28"/>
        </w:rPr>
        <w:t>письмовій</w:t>
      </w:r>
      <w:proofErr w:type="spellEnd"/>
      <w:r w:rsidRPr="00B80774">
        <w:rPr>
          <w:color w:val="212529"/>
          <w:sz w:val="28"/>
          <w:szCs w:val="28"/>
        </w:rPr>
        <w:t xml:space="preserve">, </w:t>
      </w:r>
      <w:proofErr w:type="spellStart"/>
      <w:r w:rsidRPr="00B80774">
        <w:rPr>
          <w:color w:val="212529"/>
          <w:sz w:val="28"/>
          <w:szCs w:val="28"/>
        </w:rPr>
        <w:t>усній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чи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електронній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формі</w:t>
      </w:r>
      <w:proofErr w:type="spellEnd"/>
      <w:r w:rsidRPr="00B80774">
        <w:rPr>
          <w:color w:val="212529"/>
          <w:sz w:val="28"/>
          <w:szCs w:val="28"/>
        </w:rPr>
        <w:t xml:space="preserve"> (</w:t>
      </w:r>
      <w:proofErr w:type="spellStart"/>
      <w:r w:rsidRPr="00B80774">
        <w:rPr>
          <w:color w:val="212529"/>
          <w:sz w:val="28"/>
          <w:szCs w:val="28"/>
        </w:rPr>
        <w:t>на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електронну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пошту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територіального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органуДержпродспоживслужби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місцем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розташування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потужності</w:t>
      </w:r>
      <w:proofErr w:type="spellEnd"/>
      <w:r w:rsidRPr="00B80774">
        <w:rPr>
          <w:color w:val="212529"/>
          <w:sz w:val="28"/>
          <w:szCs w:val="28"/>
        </w:rPr>
        <w:t xml:space="preserve"> (</w:t>
      </w:r>
      <w:proofErr w:type="spellStart"/>
      <w:r w:rsidRPr="00B80774">
        <w:rPr>
          <w:color w:val="212529"/>
          <w:sz w:val="28"/>
          <w:szCs w:val="28"/>
        </w:rPr>
        <w:t>обʼєкта</w:t>
      </w:r>
      <w:proofErr w:type="spellEnd"/>
      <w:r w:rsidRPr="00B80774">
        <w:rPr>
          <w:color w:val="212529"/>
          <w:sz w:val="28"/>
          <w:szCs w:val="28"/>
        </w:rPr>
        <w:t xml:space="preserve">), </w:t>
      </w:r>
      <w:proofErr w:type="spellStart"/>
      <w:r w:rsidRPr="00B80774">
        <w:rPr>
          <w:color w:val="212529"/>
          <w:sz w:val="28"/>
          <w:szCs w:val="28"/>
        </w:rPr>
        <w:t>контактна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інформація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посиланням</w:t>
      </w:r>
      <w:proofErr w:type="spellEnd"/>
      <w:r w:rsidRPr="00B80774">
        <w:rPr>
          <w:color w:val="212529"/>
          <w:sz w:val="28"/>
          <w:szCs w:val="28"/>
        </w:rPr>
        <w:t>: (https://is.gd/l2gwWi).</w:t>
      </w:r>
    </w:p>
    <w:p w14:paraId="2795EB8E" w14:textId="34C1A470" w:rsidR="00FD06C3" w:rsidRPr="00B80774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B80774">
        <w:rPr>
          <w:color w:val="212529"/>
          <w:sz w:val="28"/>
          <w:szCs w:val="28"/>
        </w:rPr>
        <w:t> </w:t>
      </w:r>
      <w:proofErr w:type="spellStart"/>
      <w:proofErr w:type="gramStart"/>
      <w:r w:rsidRPr="00B80774">
        <w:rPr>
          <w:color w:val="212529"/>
          <w:sz w:val="28"/>
          <w:szCs w:val="28"/>
        </w:rPr>
        <w:t>На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підставі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заяви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документів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керівник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державного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органу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ветеринарної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медицини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видає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наказ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призначає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державних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ветеринарних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інспекторів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для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проведення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інспектування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потужностей</w:t>
      </w:r>
      <w:proofErr w:type="spellEnd"/>
      <w:r w:rsidRPr="00B80774">
        <w:rPr>
          <w:color w:val="212529"/>
          <w:sz w:val="28"/>
          <w:szCs w:val="28"/>
        </w:rPr>
        <w:t xml:space="preserve"> (</w:t>
      </w:r>
      <w:proofErr w:type="spellStart"/>
      <w:r w:rsidRPr="00B80774">
        <w:rPr>
          <w:color w:val="212529"/>
          <w:sz w:val="28"/>
          <w:szCs w:val="28"/>
        </w:rPr>
        <w:t>об'єктів</w:t>
      </w:r>
      <w:proofErr w:type="spellEnd"/>
      <w:r w:rsidRPr="00B80774">
        <w:rPr>
          <w:color w:val="212529"/>
          <w:sz w:val="28"/>
          <w:szCs w:val="28"/>
        </w:rPr>
        <w:t xml:space="preserve">) з </w:t>
      </w:r>
      <w:proofErr w:type="spellStart"/>
      <w:r w:rsidRPr="00B80774">
        <w:rPr>
          <w:color w:val="212529"/>
          <w:sz w:val="28"/>
          <w:szCs w:val="28"/>
        </w:rPr>
        <w:t>метою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встановлення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їх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відповідності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положенням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Закону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України</w:t>
      </w:r>
      <w:proofErr w:type="spellEnd"/>
      <w:r w:rsidRPr="00B80774">
        <w:rPr>
          <w:color w:val="212529"/>
          <w:sz w:val="28"/>
          <w:szCs w:val="28"/>
        </w:rPr>
        <w:t xml:space="preserve"> "</w:t>
      </w:r>
      <w:proofErr w:type="spellStart"/>
      <w:r w:rsidRPr="00B80774">
        <w:rPr>
          <w:color w:val="212529"/>
          <w:sz w:val="28"/>
          <w:szCs w:val="28"/>
        </w:rPr>
        <w:t>Про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ветеринарну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медицину</w:t>
      </w:r>
      <w:proofErr w:type="spellEnd"/>
      <w:r w:rsidRPr="00B80774">
        <w:rPr>
          <w:color w:val="212529"/>
          <w:sz w:val="28"/>
          <w:szCs w:val="28"/>
        </w:rPr>
        <w:t>", </w:t>
      </w:r>
      <w:proofErr w:type="spellStart"/>
      <w:r w:rsidRPr="00B80774">
        <w:rPr>
          <w:color w:val="212529"/>
          <w:sz w:val="28"/>
          <w:szCs w:val="28"/>
        </w:rPr>
        <w:t>ветеринарно-</w:t>
      </w:r>
      <w:r w:rsidRPr="00B80774">
        <w:rPr>
          <w:color w:val="212529"/>
          <w:sz w:val="28"/>
          <w:szCs w:val="28"/>
        </w:rPr>
        <w:lastRenderedPageBreak/>
        <w:t>санітарним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заходам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технічним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регламентам</w:t>
      </w:r>
      <w:proofErr w:type="spellEnd"/>
      <w:r w:rsidRPr="00B80774">
        <w:rPr>
          <w:color w:val="212529"/>
          <w:sz w:val="28"/>
          <w:szCs w:val="28"/>
        </w:rPr>
        <w:t>.</w:t>
      </w:r>
      <w:proofErr w:type="gramEnd"/>
      <w:r w:rsidRPr="00B8077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B80774">
        <w:rPr>
          <w:color w:val="212529"/>
          <w:sz w:val="28"/>
          <w:szCs w:val="28"/>
        </w:rPr>
        <w:t>Строк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проведення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інспектування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не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повинен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перевищувати</w:t>
      </w:r>
      <w:proofErr w:type="spellEnd"/>
      <w:r w:rsidRPr="00B80774">
        <w:rPr>
          <w:color w:val="212529"/>
          <w:sz w:val="28"/>
          <w:szCs w:val="28"/>
        </w:rPr>
        <w:t xml:space="preserve"> 10 </w:t>
      </w:r>
      <w:proofErr w:type="spellStart"/>
      <w:r w:rsidRPr="00B80774">
        <w:rPr>
          <w:color w:val="212529"/>
          <w:sz w:val="28"/>
          <w:szCs w:val="28"/>
        </w:rPr>
        <w:t>робочих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днів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від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надходження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заяви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та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документів</w:t>
      </w:r>
      <w:proofErr w:type="spellEnd"/>
      <w:r w:rsidRPr="00B80774">
        <w:rPr>
          <w:color w:val="212529"/>
          <w:sz w:val="28"/>
          <w:szCs w:val="28"/>
        </w:rPr>
        <w:t>.</w:t>
      </w:r>
      <w:proofErr w:type="gramEnd"/>
    </w:p>
    <w:p w14:paraId="1FA08724" w14:textId="77777777" w:rsidR="00FD06C3" w:rsidRPr="00B80774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B80774">
        <w:rPr>
          <w:color w:val="212529"/>
          <w:sz w:val="28"/>
          <w:szCs w:val="28"/>
        </w:rPr>
        <w:t xml:space="preserve">У </w:t>
      </w:r>
      <w:proofErr w:type="spellStart"/>
      <w:r w:rsidRPr="00B80774">
        <w:rPr>
          <w:color w:val="212529"/>
          <w:sz w:val="28"/>
          <w:szCs w:val="28"/>
        </w:rPr>
        <w:t>разі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прийняття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рішення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відмову</w:t>
      </w:r>
      <w:proofErr w:type="spellEnd"/>
      <w:r w:rsidRPr="00B80774">
        <w:rPr>
          <w:color w:val="212529"/>
          <w:sz w:val="28"/>
          <w:szCs w:val="28"/>
        </w:rPr>
        <w:t xml:space="preserve"> у </w:t>
      </w:r>
      <w:proofErr w:type="spellStart"/>
      <w:r w:rsidRPr="00B80774">
        <w:rPr>
          <w:color w:val="212529"/>
          <w:sz w:val="28"/>
          <w:szCs w:val="28"/>
        </w:rPr>
        <w:t>видачі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експлуатаційного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дозволу</w:t>
      </w:r>
      <w:proofErr w:type="spellEnd"/>
      <w:r w:rsidRPr="00B80774">
        <w:rPr>
          <w:color w:val="212529"/>
          <w:sz w:val="28"/>
          <w:szCs w:val="28"/>
        </w:rPr>
        <w:t>,</w:t>
      </w:r>
      <w:proofErr w:type="gramStart"/>
      <w:r w:rsidRPr="00B80774">
        <w:rPr>
          <w:color w:val="212529"/>
          <w:sz w:val="28"/>
          <w:szCs w:val="28"/>
        </w:rPr>
        <w:t xml:space="preserve">  </w:t>
      </w:r>
      <w:proofErr w:type="spellStart"/>
      <w:r w:rsidRPr="00B80774">
        <w:rPr>
          <w:color w:val="212529"/>
          <w:sz w:val="28"/>
          <w:szCs w:val="28"/>
        </w:rPr>
        <w:t>операторові</w:t>
      </w:r>
      <w:proofErr w:type="spellEnd"/>
      <w:proofErr w:type="gram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потужностей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надсилається</w:t>
      </w:r>
      <w:proofErr w:type="spellEnd"/>
      <w:r w:rsidRPr="00B80774">
        <w:rPr>
          <w:color w:val="212529"/>
          <w:sz w:val="28"/>
          <w:szCs w:val="28"/>
        </w:rPr>
        <w:t> </w:t>
      </w:r>
      <w:proofErr w:type="spellStart"/>
      <w:r w:rsidRPr="00B80774">
        <w:rPr>
          <w:color w:val="212529"/>
          <w:sz w:val="28"/>
          <w:szCs w:val="28"/>
        </w:rPr>
        <w:t>протягом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десяти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робочих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днів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повідомлення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про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прийняте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рішення</w:t>
      </w:r>
      <w:proofErr w:type="spellEnd"/>
      <w:r w:rsidRPr="00B80774">
        <w:rPr>
          <w:color w:val="212529"/>
          <w:sz w:val="28"/>
          <w:szCs w:val="28"/>
        </w:rPr>
        <w:t xml:space="preserve"> з </w:t>
      </w:r>
      <w:proofErr w:type="spellStart"/>
      <w:r w:rsidRPr="00B80774">
        <w:rPr>
          <w:color w:val="212529"/>
          <w:sz w:val="28"/>
          <w:szCs w:val="28"/>
        </w:rPr>
        <w:t>обґрунтуванням</w:t>
      </w:r>
      <w:proofErr w:type="spellEnd"/>
      <w:r w:rsidRPr="00B80774">
        <w:rPr>
          <w:color w:val="212529"/>
          <w:sz w:val="28"/>
          <w:szCs w:val="28"/>
        </w:rPr>
        <w:t xml:space="preserve"> </w:t>
      </w:r>
      <w:proofErr w:type="spellStart"/>
      <w:r w:rsidRPr="00B80774">
        <w:rPr>
          <w:color w:val="212529"/>
          <w:sz w:val="28"/>
          <w:szCs w:val="28"/>
        </w:rPr>
        <w:t>підстави</w:t>
      </w:r>
      <w:proofErr w:type="spellEnd"/>
      <w:r w:rsidRPr="00B80774">
        <w:rPr>
          <w:color w:val="212529"/>
          <w:sz w:val="28"/>
          <w:szCs w:val="28"/>
        </w:rPr>
        <w:t>. </w:t>
      </w:r>
    </w:p>
    <w:p w14:paraId="390010EE" w14:textId="77777777" w:rsidR="003B1A90" w:rsidRPr="00B80774" w:rsidRDefault="003B1A90" w:rsidP="0018377E">
      <w:pPr>
        <w:pStyle w:val="5"/>
        <w:shd w:val="clear" w:color="auto" w:fill="FFFFFF"/>
        <w:spacing w:before="0" w:after="240"/>
        <w:rPr>
          <w:rFonts w:ascii="Times New Roman" w:hAnsi="Times New Roman"/>
          <w:sz w:val="28"/>
          <w:szCs w:val="28"/>
          <w:lang w:val="uk-UA"/>
        </w:rPr>
      </w:pPr>
    </w:p>
    <w:sectPr w:rsidR="003B1A90" w:rsidRPr="00B80774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B57A0" w14:textId="77777777" w:rsidR="00165309" w:rsidRDefault="00165309" w:rsidP="002C0E76">
      <w:r>
        <w:separator/>
      </w:r>
    </w:p>
  </w:endnote>
  <w:endnote w:type="continuationSeparator" w:id="0">
    <w:p w14:paraId="64252AC1" w14:textId="77777777" w:rsidR="00165309" w:rsidRDefault="00165309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2ED7E" w14:textId="77777777" w:rsidR="00165309" w:rsidRDefault="00165309" w:rsidP="002C0E76">
      <w:r>
        <w:separator/>
      </w:r>
    </w:p>
  </w:footnote>
  <w:footnote w:type="continuationSeparator" w:id="0">
    <w:p w14:paraId="03973EA7" w14:textId="77777777" w:rsidR="00165309" w:rsidRDefault="00165309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165309"/>
    <w:rsid w:val="0018377E"/>
    <w:rsid w:val="001E79BB"/>
    <w:rsid w:val="002522C9"/>
    <w:rsid w:val="002601B2"/>
    <w:rsid w:val="002604BB"/>
    <w:rsid w:val="00281CA2"/>
    <w:rsid w:val="002C0E76"/>
    <w:rsid w:val="002D3CAA"/>
    <w:rsid w:val="00345D98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D77B1"/>
    <w:rsid w:val="00501290"/>
    <w:rsid w:val="00514903"/>
    <w:rsid w:val="005151DD"/>
    <w:rsid w:val="00551951"/>
    <w:rsid w:val="00574ABA"/>
    <w:rsid w:val="00602E15"/>
    <w:rsid w:val="006114D9"/>
    <w:rsid w:val="006764EB"/>
    <w:rsid w:val="0069562D"/>
    <w:rsid w:val="006A448D"/>
    <w:rsid w:val="006A4DEA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B2C40"/>
    <w:rsid w:val="007C6B54"/>
    <w:rsid w:val="008009AA"/>
    <w:rsid w:val="00810A23"/>
    <w:rsid w:val="00813745"/>
    <w:rsid w:val="0082583C"/>
    <w:rsid w:val="008331D2"/>
    <w:rsid w:val="00841FC1"/>
    <w:rsid w:val="0088106E"/>
    <w:rsid w:val="00891574"/>
    <w:rsid w:val="008A1BD7"/>
    <w:rsid w:val="008D2090"/>
    <w:rsid w:val="008E53E5"/>
    <w:rsid w:val="008F7A08"/>
    <w:rsid w:val="009041EE"/>
    <w:rsid w:val="00904FB1"/>
    <w:rsid w:val="00931C23"/>
    <w:rsid w:val="00970996"/>
    <w:rsid w:val="009770CC"/>
    <w:rsid w:val="00981B3F"/>
    <w:rsid w:val="009B1A3B"/>
    <w:rsid w:val="009D452A"/>
    <w:rsid w:val="009D5F34"/>
    <w:rsid w:val="009E7A75"/>
    <w:rsid w:val="00A0686D"/>
    <w:rsid w:val="00A07175"/>
    <w:rsid w:val="00A26B13"/>
    <w:rsid w:val="00A71197"/>
    <w:rsid w:val="00A829D8"/>
    <w:rsid w:val="00AA63B2"/>
    <w:rsid w:val="00AA7CE7"/>
    <w:rsid w:val="00B17E10"/>
    <w:rsid w:val="00B355A4"/>
    <w:rsid w:val="00B40E25"/>
    <w:rsid w:val="00B725F1"/>
    <w:rsid w:val="00B80774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A08EA"/>
    <w:rsid w:val="00CF44E7"/>
    <w:rsid w:val="00D01B82"/>
    <w:rsid w:val="00D06BB6"/>
    <w:rsid w:val="00D1434F"/>
    <w:rsid w:val="00D35295"/>
    <w:rsid w:val="00D43FD0"/>
    <w:rsid w:val="00D52438"/>
    <w:rsid w:val="00D71971"/>
    <w:rsid w:val="00D72155"/>
    <w:rsid w:val="00D72723"/>
    <w:rsid w:val="00D77628"/>
    <w:rsid w:val="00D94591"/>
    <w:rsid w:val="00D9697A"/>
    <w:rsid w:val="00DE341E"/>
    <w:rsid w:val="00DF3347"/>
    <w:rsid w:val="00E16FC9"/>
    <w:rsid w:val="00E32103"/>
    <w:rsid w:val="00E37B4D"/>
    <w:rsid w:val="00E50099"/>
    <w:rsid w:val="00E64595"/>
    <w:rsid w:val="00E946E6"/>
    <w:rsid w:val="00EE1624"/>
    <w:rsid w:val="00EF38D8"/>
    <w:rsid w:val="00EF51D5"/>
    <w:rsid w:val="00F230F2"/>
    <w:rsid w:val="00F64B8E"/>
    <w:rsid w:val="00F670EB"/>
    <w:rsid w:val="00F67FB4"/>
    <w:rsid w:val="00F76F05"/>
    <w:rsid w:val="00FB3117"/>
    <w:rsid w:val="00FD06C3"/>
    <w:rsid w:val="00FD2370"/>
    <w:rsid w:val="00FD4E1F"/>
    <w:rsid w:val="00FE2188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9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1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5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46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5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21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71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8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203-17" TargetMode="External"/><Relationship Id="rId13" Type="http://schemas.openxmlformats.org/officeDocument/2006/relationships/hyperlink" Target="https://zakon.rada.gov.ua/laws/show/978-2008-%D0%B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18-2013-%D0%B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498-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1291-10" TargetMode="External"/><Relationship Id="rId10" Type="http://schemas.openxmlformats.org/officeDocument/2006/relationships/hyperlink" Target="https://zakon.rada.gov.ua/laws/show/2806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392-17" TargetMode="External"/><Relationship Id="rId14" Type="http://schemas.openxmlformats.org/officeDocument/2006/relationships/hyperlink" Target="https://zakon.rada.gov.ua/laws/show/523-2014-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4715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27</cp:revision>
  <cp:lastPrinted>2025-01-15T10:34:00Z</cp:lastPrinted>
  <dcterms:created xsi:type="dcterms:W3CDTF">2023-11-16T13:35:00Z</dcterms:created>
  <dcterms:modified xsi:type="dcterms:W3CDTF">2026-01-14T09:36:00Z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