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8ACDE" w14:textId="0E13FE0E" w:rsidR="00262626" w:rsidRDefault="00262626" w:rsidP="00262626">
      <w:pPr>
        <w:jc w:val="center"/>
        <w:rPr>
          <w:rFonts w:ascii="Times New Roman" w:hAnsi="Times New Roman" w:cs="Times New Roman"/>
          <w:b/>
          <w:color w:val="000000"/>
          <w:sz w:val="28"/>
          <w:szCs w:val="28"/>
        </w:rPr>
      </w:pPr>
      <w:r>
        <w:rPr>
          <w:color w:val="191919"/>
        </w:rPr>
        <w:t xml:space="preserve">                                                                       </w:t>
      </w:r>
      <w:bookmarkStart w:id="0" w:name="_GoBack"/>
      <w:bookmarkEnd w:id="0"/>
      <w:r>
        <w:rPr>
          <w:color w:val="191919"/>
        </w:rPr>
        <w:t xml:space="preserve"> </w:t>
      </w:r>
      <w:r>
        <w:rPr>
          <w:rFonts w:ascii="Times New Roman" w:hAnsi="Times New Roman" w:cs="Times New Roman"/>
          <w:b/>
          <w:color w:val="000000"/>
          <w:sz w:val="28"/>
          <w:szCs w:val="28"/>
        </w:rPr>
        <w:t xml:space="preserve">ЗАТВЕРДЖЕНО </w:t>
      </w:r>
    </w:p>
    <w:p w14:paraId="062C6BD0" w14:textId="77777777" w:rsidR="00262626" w:rsidRDefault="00262626" w:rsidP="0026262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130AFA6" w14:textId="77777777" w:rsidR="00262626" w:rsidRDefault="00262626" w:rsidP="00262626">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6014A54E" w14:textId="515146AC" w:rsidR="005B56FF" w:rsidRDefault="005B56FF" w:rsidP="005B56FF">
      <w:pPr>
        <w:pStyle w:val="af0"/>
        <w:spacing w:before="0" w:beforeAutospacing="0" w:after="150" w:afterAutospacing="0"/>
        <w:jc w:val="right"/>
        <w:rPr>
          <w:color w:val="191919"/>
        </w:rPr>
      </w:pP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739D638B"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262626">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47E35B54" w14:textId="77777777" w:rsidR="005B56FF" w:rsidRPr="007B5DD2" w:rsidRDefault="005B56FF" w:rsidP="005B56FF">
      <w:pPr>
        <w:pStyle w:val="af0"/>
        <w:spacing w:before="0" w:beforeAutospacing="0" w:after="150" w:afterAutospacing="0"/>
        <w:jc w:val="center"/>
        <w:rPr>
          <w:b/>
          <w:color w:val="191919"/>
          <w:sz w:val="32"/>
          <w:szCs w:val="32"/>
        </w:rPr>
      </w:pPr>
      <w:bookmarkStart w:id="1" w:name="bookmark=id.gjdgxs" w:colFirst="0" w:colLast="0"/>
      <w:bookmarkEnd w:id="1"/>
      <w:r w:rsidRPr="007B5DD2">
        <w:rPr>
          <w:b/>
          <w:color w:val="191919"/>
          <w:sz w:val="32"/>
          <w:szCs w:val="32"/>
        </w:rPr>
        <w:t>адміністративної послуги з внесення до Реєстру осіб, які мають право</w:t>
      </w:r>
    </w:p>
    <w:p w14:paraId="2F6FFCE0" w14:textId="29BF5174" w:rsidR="00001403" w:rsidRPr="007B5DD2" w:rsidRDefault="005B56FF" w:rsidP="004618B8">
      <w:pPr>
        <w:pStyle w:val="af0"/>
        <w:spacing w:before="0" w:beforeAutospacing="0" w:after="150" w:afterAutospacing="0"/>
        <w:jc w:val="center"/>
        <w:rPr>
          <w:b/>
          <w:color w:val="191919"/>
          <w:sz w:val="32"/>
          <w:szCs w:val="32"/>
        </w:rPr>
      </w:pPr>
      <w:r w:rsidRPr="007B5DD2">
        <w:rPr>
          <w:b/>
          <w:color w:val="191919"/>
          <w:sz w:val="32"/>
          <w:szCs w:val="32"/>
        </w:rPr>
        <w:t xml:space="preserve">на пільги, відомостей про </w:t>
      </w:r>
      <w:r w:rsidR="00BB7D7A" w:rsidRPr="007B5DD2">
        <w:rPr>
          <w:b/>
          <w:color w:val="191919"/>
          <w:sz w:val="32"/>
          <w:szCs w:val="32"/>
        </w:rPr>
        <w:t xml:space="preserve"> фізичних осіб, які</w:t>
      </w:r>
      <w:r w:rsidR="00627268" w:rsidRPr="007B5DD2">
        <w:rPr>
          <w:b/>
          <w:color w:val="191919"/>
          <w:sz w:val="32"/>
          <w:szCs w:val="32"/>
        </w:rPr>
        <w:t xml:space="preserve"> </w:t>
      </w:r>
      <w:r w:rsidR="00BB7D7A" w:rsidRPr="007B5DD2">
        <w:rPr>
          <w:b/>
          <w:color w:val="191919"/>
          <w:sz w:val="32"/>
          <w:szCs w:val="32"/>
        </w:rPr>
        <w:t>мають право на пільги за соціальною ознакою відповідно до законів України</w:t>
      </w:r>
      <w:r w:rsidR="00627268" w:rsidRPr="007B5DD2">
        <w:rPr>
          <w:b/>
          <w:color w:val="191919"/>
          <w:sz w:val="32"/>
          <w:szCs w:val="32"/>
        </w:rPr>
        <w:t>,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w:t>
      </w:r>
      <w:r w:rsidR="00627268" w:rsidRPr="007B5DD2">
        <w:rPr>
          <w:b/>
          <w:color w:val="191919"/>
          <w:sz w:val="32"/>
          <w:szCs w:val="32"/>
          <w:lang w:val="en-US"/>
        </w:rPr>
        <w:t>’</w:t>
      </w:r>
      <w:r w:rsidR="00627268" w:rsidRPr="007B5DD2">
        <w:rPr>
          <w:b/>
          <w:color w:val="191919"/>
          <w:sz w:val="32"/>
          <w:szCs w:val="32"/>
        </w:rPr>
        <w:t>ї чи</w:t>
      </w:r>
      <w:r w:rsidRPr="007B5DD2">
        <w:rPr>
          <w:b/>
          <w:color w:val="191919"/>
          <w:sz w:val="32"/>
          <w:szCs w:val="32"/>
        </w:rPr>
        <w:t xml:space="preserve"> опікуна  на яких поширюється пільга</w:t>
      </w:r>
      <w:r w:rsidR="00245822" w:rsidRPr="007B5DD2">
        <w:rPr>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60A551D" w:rsidR="008C237A"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p>
    <w:p w14:paraId="15701B2B" w14:textId="79239325" w:rsidR="00BB7D7A" w:rsidRPr="00BF6EE7" w:rsidRDefault="00BB7D7A">
      <w:pPr>
        <w:jc w:val="center"/>
        <w:rPr>
          <w:rFonts w:ascii="Times New Roman" w:hAnsi="Times New Roman" w:cs="Times New Roman"/>
          <w:b/>
          <w:bCs/>
          <w:sz w:val="28"/>
          <w:szCs w:val="28"/>
        </w:rPr>
      </w:pPr>
      <w:r>
        <w:rPr>
          <w:rFonts w:ascii="Times New Roman" w:hAnsi="Times New Roman" w:cs="Times New Roman"/>
          <w:b/>
          <w:bCs/>
          <w:sz w:val="28"/>
          <w:szCs w:val="28"/>
        </w:rPr>
        <w:t>01392</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lastRenderedPageBreak/>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7B5DD2">
        <w:trPr>
          <w:trHeight w:val="131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4583AA08" w14:textId="77777777" w:rsidR="005B56FF" w:rsidRPr="005B56FF" w:rsidRDefault="00245822" w:rsidP="005B56FF">
            <w:pPr>
              <w:pStyle w:val="af0"/>
              <w:spacing w:before="0" w:beforeAutospacing="0" w:after="150" w:afterAutospacing="0"/>
              <w:rPr>
                <w:color w:val="191919"/>
                <w:sz w:val="28"/>
                <w:szCs w:val="28"/>
              </w:rPr>
            </w:pPr>
            <w:r w:rsidRPr="005B56FF">
              <w:rPr>
                <w:sz w:val="28"/>
                <w:szCs w:val="28"/>
              </w:rPr>
              <w:t xml:space="preserve"> </w:t>
            </w:r>
            <w:r w:rsidR="005B56FF" w:rsidRPr="005B56FF">
              <w:rPr>
                <w:color w:val="191919"/>
                <w:sz w:val="28"/>
                <w:szCs w:val="28"/>
              </w:rPr>
              <w:t>Бюджетний кодекс України (ст. 51, 87); </w:t>
            </w:r>
            <w:hyperlink r:id="rId10" w:history="1">
              <w:r w:rsidR="005B56FF" w:rsidRPr="005B56FF">
                <w:rPr>
                  <w:rStyle w:val="af1"/>
                  <w:color w:val="2D5CA6"/>
                  <w:sz w:val="28"/>
                  <w:szCs w:val="28"/>
                </w:rPr>
                <w:t>Кодекс </w:t>
              </w:r>
            </w:hyperlink>
            <w:hyperlink r:id="rId11" w:history="1">
              <w:r w:rsidR="005B56FF" w:rsidRPr="005B56FF">
                <w:rPr>
                  <w:rStyle w:val="af1"/>
                  <w:color w:val="2D5CA6"/>
                  <w:sz w:val="28"/>
                  <w:szCs w:val="28"/>
                </w:rPr>
                <w:t>цивільного</w:t>
              </w:r>
            </w:hyperlink>
            <w:r w:rsidR="005B56FF" w:rsidRPr="005B56FF">
              <w:rPr>
                <w:color w:val="191919"/>
                <w:sz w:val="28"/>
                <w:szCs w:val="28"/>
              </w:rPr>
              <w:t> </w:t>
            </w:r>
            <w:hyperlink r:id="rId12" w:history="1">
              <w:r w:rsidR="005B56FF" w:rsidRPr="005B56FF">
                <w:rPr>
                  <w:rStyle w:val="af1"/>
                  <w:color w:val="2D5CA6"/>
                  <w:sz w:val="28"/>
                  <w:szCs w:val="28"/>
                </w:rPr>
                <w:t>захисту</w:t>
              </w:r>
            </w:hyperlink>
            <w:r w:rsidR="005B56FF" w:rsidRPr="005B56FF">
              <w:rPr>
                <w:color w:val="191919"/>
                <w:sz w:val="28"/>
                <w:szCs w:val="28"/>
              </w:rPr>
              <w:t> </w:t>
            </w:r>
            <w:hyperlink r:id="rId13" w:history="1">
              <w:r w:rsidR="005B56FF" w:rsidRPr="005B56FF">
                <w:rPr>
                  <w:rStyle w:val="af1"/>
                  <w:color w:val="2D5CA6"/>
                  <w:sz w:val="28"/>
                  <w:szCs w:val="28"/>
                </w:rPr>
                <w:t>України </w:t>
              </w:r>
            </w:hyperlink>
            <w:r w:rsidR="005B56FF" w:rsidRPr="005B56FF">
              <w:rPr>
                <w:color w:val="191919"/>
                <w:sz w:val="28"/>
                <w:szCs w:val="28"/>
              </w:rPr>
              <w:t>(ст. 120);</w:t>
            </w:r>
          </w:p>
          <w:p w14:paraId="671EDE1A"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статус і соціальний захист громадян, які постраждали внаслідок Чорнобильської катастрофи” (ст. 20–22, 30);</w:t>
            </w:r>
          </w:p>
          <w:p w14:paraId="263B8C8C"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реабілітацію жертв репресій комуністичного тоталітарного режиму 1917–1991 років” (ст. 6);</w:t>
            </w:r>
          </w:p>
          <w:p w14:paraId="558BAF6C"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основи соціальної захищеності осіб з інвалідністю в Україні” (ст. 4);</w:t>
            </w:r>
          </w:p>
          <w:p w14:paraId="6AD5B6E5"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соціальний і правовий захист військовослужбовців та членів їх сімей” (ст. 12);</w:t>
            </w:r>
          </w:p>
          <w:p w14:paraId="23D66847"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Службу безпеки України” (ст. 27);</w:t>
            </w:r>
          </w:p>
          <w:p w14:paraId="736B33A5"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 xml:space="preserve">Закон України </w:t>
            </w:r>
            <w:r w:rsidRPr="005B56FF">
              <w:rPr>
                <w:color w:val="191919"/>
                <w:sz w:val="28"/>
                <w:szCs w:val="28"/>
              </w:rPr>
              <w:lastRenderedPageBreak/>
              <w:t>“</w:t>
            </w:r>
            <w:hyperlink r:id="rId14" w:history="1">
              <w:r w:rsidRPr="005B56FF">
                <w:rPr>
                  <w:rStyle w:val="af1"/>
                  <w:color w:val="2D5CA6"/>
                  <w:sz w:val="28"/>
                  <w:szCs w:val="28"/>
                </w:rPr>
                <w:t>Основи</w:t>
              </w:r>
            </w:hyperlink>
            <w:r w:rsidRPr="005B56FF">
              <w:rPr>
                <w:color w:val="191919"/>
                <w:sz w:val="28"/>
                <w:szCs w:val="28"/>
              </w:rPr>
              <w:t> </w:t>
            </w:r>
            <w:hyperlink r:id="rId15" w:history="1">
              <w:r w:rsidRPr="005B56FF">
                <w:rPr>
                  <w:rStyle w:val="af1"/>
                  <w:color w:val="2D5CA6"/>
                  <w:sz w:val="28"/>
                  <w:szCs w:val="28"/>
                </w:rPr>
                <w:t>законодавства</w:t>
              </w:r>
            </w:hyperlink>
            <w:r w:rsidRPr="005B56FF">
              <w:rPr>
                <w:color w:val="191919"/>
                <w:sz w:val="28"/>
                <w:szCs w:val="28"/>
              </w:rPr>
              <w:t> </w:t>
            </w:r>
            <w:hyperlink r:id="rId16" w:history="1">
              <w:r w:rsidRPr="005B56FF">
                <w:rPr>
                  <w:rStyle w:val="af1"/>
                  <w:color w:val="2D5CA6"/>
                  <w:sz w:val="28"/>
                  <w:szCs w:val="28"/>
                </w:rPr>
                <w:t>України</w:t>
              </w:r>
            </w:hyperlink>
            <w:r w:rsidRPr="005B56FF">
              <w:rPr>
                <w:color w:val="191919"/>
                <w:sz w:val="28"/>
                <w:szCs w:val="28"/>
              </w:rPr>
              <w:t> </w:t>
            </w:r>
            <w:hyperlink r:id="rId17" w:history="1">
              <w:r w:rsidRPr="005B56FF">
                <w:rPr>
                  <w:rStyle w:val="af1"/>
                  <w:color w:val="2D5CA6"/>
                  <w:sz w:val="28"/>
                  <w:szCs w:val="28"/>
                </w:rPr>
                <w:t>про</w:t>
              </w:r>
            </w:hyperlink>
            <w:r w:rsidRPr="005B56FF">
              <w:rPr>
                <w:color w:val="191919"/>
                <w:sz w:val="28"/>
                <w:szCs w:val="28"/>
              </w:rPr>
              <w:t> </w:t>
            </w:r>
            <w:hyperlink r:id="rId18" w:history="1">
              <w:r w:rsidRPr="005B56FF">
                <w:rPr>
                  <w:rStyle w:val="af1"/>
                  <w:color w:val="2D5CA6"/>
                  <w:sz w:val="28"/>
                  <w:szCs w:val="28"/>
                </w:rPr>
                <w:t>охорону</w:t>
              </w:r>
            </w:hyperlink>
            <w:r w:rsidRPr="005B56FF">
              <w:rPr>
                <w:color w:val="191919"/>
                <w:sz w:val="28"/>
                <w:szCs w:val="28"/>
              </w:rPr>
              <w:t> </w:t>
            </w:r>
            <w:hyperlink r:id="rId19" w:history="1">
              <w:r w:rsidRPr="005B56FF">
                <w:rPr>
                  <w:rStyle w:val="af1"/>
                  <w:color w:val="2D5CA6"/>
                  <w:sz w:val="28"/>
                  <w:szCs w:val="28"/>
                </w:rPr>
                <w:t>здоров’я</w:t>
              </w:r>
            </w:hyperlink>
            <w:r w:rsidRPr="005B56FF">
              <w:rPr>
                <w:color w:val="191919"/>
                <w:sz w:val="28"/>
                <w:szCs w:val="28"/>
              </w:rPr>
              <w:t>” (ст. 77);</w:t>
            </w:r>
          </w:p>
          <w:p w14:paraId="72A9488F"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статус ветеранів війни, гарантії їх соціального захисту” (ст. 12–15, 16, 16</w:t>
            </w:r>
            <w:r w:rsidRPr="005B56FF">
              <w:rPr>
                <w:color w:val="191919"/>
                <w:sz w:val="28"/>
                <w:szCs w:val="28"/>
                <w:vertAlign w:val="superscript"/>
              </w:rPr>
              <w:t>1</w:t>
            </w:r>
            <w:r w:rsidRPr="005B56FF">
              <w:rPr>
                <w:color w:val="191919"/>
                <w:sz w:val="28"/>
                <w:szCs w:val="28"/>
              </w:rPr>
              <w:t>);</w:t>
            </w:r>
          </w:p>
          <w:p w14:paraId="63518D75"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основні засади соціального захисту ветеранів праці та інших громадян похилого віку в Україні” (ст. 9);</w:t>
            </w:r>
          </w:p>
          <w:p w14:paraId="4AACB6EB"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бібліотеки і бібліотечну справу” (ст. 30);</w:t>
            </w:r>
          </w:p>
          <w:p w14:paraId="5EF2210C"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музеї та музейну справу” (ст. 28);</w:t>
            </w:r>
          </w:p>
          <w:p w14:paraId="09EAB4BC"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 6, 7);</w:t>
            </w:r>
          </w:p>
          <w:p w14:paraId="0C244EF1"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захист рослин” (ст. 20);</w:t>
            </w:r>
          </w:p>
          <w:p w14:paraId="67F52154"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жертви нацистських переслідувань” (ст. 6</w:t>
            </w:r>
            <w:r w:rsidRPr="005B56FF">
              <w:rPr>
                <w:color w:val="191919"/>
                <w:sz w:val="28"/>
                <w:szCs w:val="28"/>
                <w:vertAlign w:val="superscript"/>
              </w:rPr>
              <w:t>1</w:t>
            </w:r>
            <w:r w:rsidRPr="005B56FF">
              <w:rPr>
                <w:color w:val="191919"/>
                <w:sz w:val="28"/>
                <w:szCs w:val="28"/>
              </w:rPr>
              <w:t>, 6</w:t>
            </w:r>
            <w:r w:rsidRPr="005B56FF">
              <w:rPr>
                <w:color w:val="191919"/>
                <w:sz w:val="28"/>
                <w:szCs w:val="28"/>
                <w:vertAlign w:val="superscript"/>
              </w:rPr>
              <w:t>2</w:t>
            </w:r>
            <w:r w:rsidRPr="005B56FF">
              <w:rPr>
                <w:color w:val="191919"/>
                <w:sz w:val="28"/>
                <w:szCs w:val="28"/>
              </w:rPr>
              <w:t>, 6</w:t>
            </w:r>
            <w:r w:rsidRPr="005B56FF">
              <w:rPr>
                <w:color w:val="191919"/>
                <w:sz w:val="28"/>
                <w:szCs w:val="28"/>
                <w:vertAlign w:val="superscript"/>
              </w:rPr>
              <w:t>3</w:t>
            </w:r>
            <w:r w:rsidRPr="005B56FF">
              <w:rPr>
                <w:color w:val="191919"/>
                <w:sz w:val="28"/>
                <w:szCs w:val="28"/>
              </w:rPr>
              <w:t>, 6</w:t>
            </w:r>
            <w:r w:rsidRPr="005B56FF">
              <w:rPr>
                <w:color w:val="191919"/>
                <w:sz w:val="28"/>
                <w:szCs w:val="28"/>
                <w:vertAlign w:val="superscript"/>
              </w:rPr>
              <w:t>4</w:t>
            </w:r>
            <w:r w:rsidRPr="005B56FF">
              <w:rPr>
                <w:color w:val="191919"/>
                <w:sz w:val="28"/>
                <w:szCs w:val="28"/>
              </w:rPr>
              <w:t>);</w:t>
            </w:r>
          </w:p>
          <w:p w14:paraId="420C930B"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охорону дитинства” (ст. 13); Закон України “Про соціальний захист дітей війни”</w:t>
            </w:r>
          </w:p>
          <w:p w14:paraId="7771ECAD"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(ст. 5);</w:t>
            </w:r>
          </w:p>
          <w:p w14:paraId="6891A753"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Державну     кримінально- виконавчу службу України” (ст. 24);</w:t>
            </w:r>
          </w:p>
          <w:p w14:paraId="36CD0C5F"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Державну службу спеціального зв’язку та захисту інформації України” (ст. 21);</w:t>
            </w:r>
          </w:p>
          <w:p w14:paraId="73605D98"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Закон України “Про культуру” (ст. 29);</w:t>
            </w:r>
          </w:p>
          <w:p w14:paraId="52F37C31"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 xml:space="preserve">Закон    України     “Про     відновлення     прав     осіб, </w:t>
            </w:r>
            <w:r w:rsidRPr="005B56FF">
              <w:rPr>
                <w:color w:val="191919"/>
                <w:sz w:val="28"/>
                <w:szCs w:val="28"/>
              </w:rPr>
              <w:lastRenderedPageBreak/>
              <w:t>депортованих за національною ознакою” (ст. 6);</w:t>
            </w:r>
          </w:p>
          <w:p w14:paraId="5B34D878" w14:textId="2A0943A7" w:rsidR="008C237A" w:rsidRPr="005B56FF" w:rsidRDefault="005B56FF" w:rsidP="007B5DD2">
            <w:pPr>
              <w:pStyle w:val="af0"/>
              <w:spacing w:before="0" w:beforeAutospacing="0" w:after="150" w:afterAutospacing="0"/>
              <w:rPr>
                <w:sz w:val="28"/>
                <w:szCs w:val="28"/>
              </w:rPr>
            </w:pPr>
            <w:r w:rsidRPr="005B56FF">
              <w:rPr>
                <w:color w:val="191919"/>
                <w:sz w:val="28"/>
                <w:szCs w:val="28"/>
              </w:rPr>
              <w:t>Закон України “Про прокуратуру” (ст. 86); Закон України “Про освіту” (ст. 57).</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7C813F67"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Постанова Кабінету Міністрів України від 29 січня 2003 року № 117 “Про Реєстр осіб, які мають право на пільги”;</w:t>
            </w:r>
          </w:p>
          <w:p w14:paraId="056A5240" w14:textId="77777777" w:rsidR="005B56FF" w:rsidRPr="005B56FF" w:rsidRDefault="005B56FF" w:rsidP="005B56FF">
            <w:pPr>
              <w:pStyle w:val="af0"/>
              <w:spacing w:before="0" w:beforeAutospacing="0" w:after="150" w:afterAutospacing="0"/>
              <w:rPr>
                <w:color w:val="191919"/>
                <w:sz w:val="28"/>
                <w:szCs w:val="28"/>
              </w:rPr>
            </w:pPr>
            <w:r w:rsidRPr="005B56FF">
              <w:rPr>
                <w:color w:val="191919"/>
                <w:sz w:val="28"/>
                <w:szCs w:val="28"/>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4D24ADEC" w14:textId="4075393B" w:rsidR="008C237A" w:rsidRPr="00BF6EE7" w:rsidRDefault="005B56FF" w:rsidP="007B5DD2">
            <w:pPr>
              <w:pStyle w:val="af0"/>
              <w:spacing w:before="0" w:beforeAutospacing="0" w:after="150" w:afterAutospacing="0"/>
              <w:rPr>
                <w:sz w:val="28"/>
                <w:szCs w:val="28"/>
              </w:rPr>
            </w:pPr>
            <w:r w:rsidRPr="005B56FF">
              <w:rPr>
                <w:color w:val="191919"/>
                <w:sz w:val="28"/>
                <w:szCs w:val="28"/>
              </w:rPr>
              <w:t>постанова Кабінету Міністрів України від 17 квітня 2019 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2004AE98" w:rsidR="008C237A" w:rsidRPr="00BB7D7A" w:rsidRDefault="00BB7D7A">
            <w:pPr>
              <w:pBdr>
                <w:top w:val="nil"/>
                <w:left w:val="nil"/>
                <w:bottom w:val="nil"/>
                <w:right w:val="nil"/>
                <w:between w:val="nil"/>
              </w:pBdr>
              <w:tabs>
                <w:tab w:val="left" w:pos="0"/>
              </w:tabs>
              <w:ind w:right="7"/>
              <w:jc w:val="both"/>
              <w:rPr>
                <w:rFonts w:ascii="Times New Roman" w:hAnsi="Times New Roman" w:cs="Times New Roman"/>
                <w:sz w:val="28"/>
                <w:szCs w:val="28"/>
              </w:rPr>
            </w:pPr>
            <w:r w:rsidRPr="00BB7D7A">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27268">
        <w:trPr>
          <w:trHeight w:val="2145"/>
        </w:trPr>
        <w:tc>
          <w:tcPr>
            <w:tcW w:w="641" w:type="dxa"/>
            <w:tcBorders>
              <w:top w:val="single" w:sz="6" w:space="0" w:color="000000"/>
              <w:left w:val="single" w:sz="6" w:space="0" w:color="000000"/>
              <w:bottom w:val="single" w:sz="4" w:space="0" w:color="auto"/>
              <w:right w:val="single" w:sz="6" w:space="0" w:color="000000"/>
            </w:tcBorders>
          </w:tcPr>
          <w:p w14:paraId="770BB7B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7</w:t>
            </w:r>
          </w:p>
        </w:tc>
        <w:tc>
          <w:tcPr>
            <w:tcW w:w="6229" w:type="dxa"/>
            <w:tcBorders>
              <w:top w:val="single" w:sz="6" w:space="0" w:color="000000"/>
              <w:left w:val="single" w:sz="6" w:space="0" w:color="000000"/>
              <w:bottom w:val="single" w:sz="4" w:space="0" w:color="auto"/>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4" w:space="0" w:color="auto"/>
              <w:right w:val="single" w:sz="6" w:space="0" w:color="000000"/>
            </w:tcBorders>
          </w:tcPr>
          <w:p w14:paraId="73A77C6A"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1.    Особа, що має статус пільговика відповідно до чинного законодавства України;</w:t>
            </w:r>
          </w:p>
          <w:p w14:paraId="76CE52C1" w14:textId="091861AE" w:rsidR="008C237A" w:rsidRPr="00BF6EE7" w:rsidRDefault="00BB7D7A" w:rsidP="00BB7D7A">
            <w:pPr>
              <w:pStyle w:val="af0"/>
              <w:spacing w:before="0" w:after="150"/>
              <w:rPr>
                <w:sz w:val="28"/>
                <w:szCs w:val="28"/>
              </w:rPr>
            </w:pPr>
            <w:r w:rsidRPr="00BB7D7A">
              <w:rPr>
                <w:color w:val="191919"/>
                <w:sz w:val="28"/>
                <w:szCs w:val="28"/>
              </w:rPr>
              <w:t>2.  Законний представник або дієздатний повнолітній член сім’ї пільговика, на якого поширюються пільги, – у разі, якщо пільговик не може самостійно звернутися з поважних причин (військова служба, хвороба, інвалідність тощо).</w:t>
            </w:r>
          </w:p>
        </w:tc>
      </w:tr>
      <w:tr w:rsidR="00627268" w:rsidRPr="00BF6EE7" w14:paraId="2FB19FDE" w14:textId="77777777" w:rsidTr="00627268">
        <w:trPr>
          <w:trHeight w:val="525"/>
        </w:trPr>
        <w:tc>
          <w:tcPr>
            <w:tcW w:w="641" w:type="dxa"/>
            <w:tcBorders>
              <w:top w:val="single" w:sz="4" w:space="0" w:color="auto"/>
              <w:left w:val="single" w:sz="6" w:space="0" w:color="000000"/>
              <w:bottom w:val="single" w:sz="6" w:space="0" w:color="000000"/>
              <w:right w:val="single" w:sz="6" w:space="0" w:color="000000"/>
            </w:tcBorders>
          </w:tcPr>
          <w:p w14:paraId="164E0A89" w14:textId="7A938002" w:rsidR="00627268" w:rsidRPr="00BF6EE7" w:rsidRDefault="004618B8" w:rsidP="00627268">
            <w:pPr>
              <w:jc w:val="center"/>
              <w:rPr>
                <w:rFonts w:ascii="Times New Roman" w:hAnsi="Times New Roman" w:cs="Times New Roman"/>
                <w:sz w:val="28"/>
                <w:szCs w:val="28"/>
              </w:rPr>
            </w:pPr>
            <w:r>
              <w:rPr>
                <w:rFonts w:ascii="Times New Roman" w:hAnsi="Times New Roman" w:cs="Times New Roman"/>
                <w:sz w:val="28"/>
                <w:szCs w:val="28"/>
              </w:rPr>
              <w:t>8</w:t>
            </w:r>
          </w:p>
        </w:tc>
        <w:tc>
          <w:tcPr>
            <w:tcW w:w="6229" w:type="dxa"/>
            <w:tcBorders>
              <w:top w:val="single" w:sz="4" w:space="0" w:color="auto"/>
              <w:left w:val="single" w:sz="6" w:space="0" w:color="000000"/>
              <w:bottom w:val="single" w:sz="6" w:space="0" w:color="000000"/>
              <w:right w:val="single" w:sz="6" w:space="0" w:color="000000"/>
            </w:tcBorders>
          </w:tcPr>
          <w:p w14:paraId="4AF6F380" w14:textId="191BC6E7" w:rsidR="00627268" w:rsidRPr="004618B8" w:rsidRDefault="004618B8" w:rsidP="00627268">
            <w:pPr>
              <w:rPr>
                <w:rFonts w:ascii="Times New Roman" w:hAnsi="Times New Roman" w:cs="Times New Roman"/>
                <w:sz w:val="28"/>
                <w:szCs w:val="28"/>
              </w:rPr>
            </w:pPr>
            <w:r w:rsidRPr="004618B8">
              <w:rPr>
                <w:rFonts w:ascii="Times New Roman" w:hAnsi="Times New Roman" w:cs="Times New Roman"/>
                <w:color w:val="191919"/>
                <w:sz w:val="28"/>
                <w:szCs w:val="28"/>
                <w:shd w:val="clear" w:color="auto" w:fill="FFFFFF"/>
              </w:rPr>
              <w:t>Особи, які мають право на отримання адміністративної послуги</w:t>
            </w:r>
          </w:p>
        </w:tc>
        <w:tc>
          <w:tcPr>
            <w:tcW w:w="8190" w:type="dxa"/>
            <w:tcBorders>
              <w:top w:val="single" w:sz="4" w:space="0" w:color="auto"/>
              <w:left w:val="single" w:sz="6" w:space="0" w:color="000000"/>
              <w:bottom w:val="single" w:sz="6" w:space="0" w:color="000000"/>
              <w:right w:val="single" w:sz="6" w:space="0" w:color="000000"/>
            </w:tcBorders>
          </w:tcPr>
          <w:p w14:paraId="0A4DBC7D" w14:textId="77777777" w:rsidR="004618B8" w:rsidRPr="004618B8" w:rsidRDefault="004618B8" w:rsidP="004618B8">
            <w:pPr>
              <w:pStyle w:val="af0"/>
              <w:spacing w:before="0" w:beforeAutospacing="0" w:after="150" w:afterAutospacing="0"/>
              <w:rPr>
                <w:color w:val="191919"/>
                <w:sz w:val="28"/>
                <w:szCs w:val="28"/>
              </w:rPr>
            </w:pPr>
            <w:r w:rsidRPr="004618B8">
              <w:rPr>
                <w:color w:val="191919"/>
                <w:sz w:val="28"/>
                <w:szCs w:val="28"/>
              </w:rPr>
              <w:t>1.    Особа, що має статус пільговика відповідно до чинного законодавства України;</w:t>
            </w:r>
          </w:p>
          <w:p w14:paraId="7EE84525" w14:textId="6C2164EC" w:rsidR="00627268" w:rsidRPr="00BB7D7A" w:rsidRDefault="004618B8" w:rsidP="007B5DD2">
            <w:pPr>
              <w:pStyle w:val="af0"/>
              <w:spacing w:before="0" w:beforeAutospacing="0" w:after="150" w:afterAutospacing="0"/>
              <w:rPr>
                <w:color w:val="191919"/>
                <w:sz w:val="28"/>
                <w:szCs w:val="28"/>
              </w:rPr>
            </w:pPr>
            <w:r w:rsidRPr="004618B8">
              <w:rPr>
                <w:color w:val="191919"/>
                <w:sz w:val="28"/>
                <w:szCs w:val="28"/>
              </w:rPr>
              <w:t>2.  Законний представник або дієздатний повнолітній член сім’ї пільговика, на якого поширюються пільги, – у разі, якщо пільговик не може самостійно звернутися з поважних причин (військова служба, хвороба, інвалідність тощо).</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0CC4AAF7" w:rsidR="008C237A" w:rsidRPr="00BF6EE7" w:rsidRDefault="004618B8">
            <w:pPr>
              <w:jc w:val="center"/>
              <w:rPr>
                <w:rFonts w:ascii="Times New Roman" w:hAnsi="Times New Roman" w:cs="Times New Roman"/>
                <w:sz w:val="28"/>
                <w:szCs w:val="28"/>
              </w:rPr>
            </w:pPr>
            <w:r>
              <w:rPr>
                <w:rFonts w:ascii="Times New Roman" w:hAnsi="Times New Roman" w:cs="Times New Roman"/>
                <w:sz w:val="28"/>
                <w:szCs w:val="28"/>
              </w:rPr>
              <w:t>9</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FD61A9E"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1.    Заява про внесення відомостей до Реєстру осіб, які мають право на пільги (далі – заява).</w:t>
            </w:r>
          </w:p>
          <w:p w14:paraId="53C8114A"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Форма заяви, встановлена Положенням про Реєстр осіб, які мають право на пільги, затвердженим постановою Кабінету Міністрів України від 29 січня 2003 року № 117, розміщена за посиланням:</w:t>
            </w:r>
          </w:p>
          <w:p w14:paraId="3D4C2152" w14:textId="77777777" w:rsidR="00BB7D7A" w:rsidRPr="00BB7D7A" w:rsidRDefault="00534B48" w:rsidP="00BB7D7A">
            <w:pPr>
              <w:pStyle w:val="af0"/>
              <w:spacing w:before="0" w:beforeAutospacing="0" w:after="150" w:afterAutospacing="0"/>
              <w:rPr>
                <w:color w:val="191919"/>
                <w:sz w:val="28"/>
                <w:szCs w:val="28"/>
              </w:rPr>
            </w:pPr>
            <w:hyperlink r:id="rId20" w:history="1">
              <w:r w:rsidR="00BB7D7A" w:rsidRPr="00BB7D7A">
                <w:rPr>
                  <w:rStyle w:val="af1"/>
                  <w:color w:val="2D5CA6"/>
                  <w:sz w:val="28"/>
                  <w:szCs w:val="28"/>
                </w:rPr>
                <w:t>https://www.pfu.gov.ua/2166485</w:t>
              </w:r>
            </w:hyperlink>
            <w:hyperlink r:id="rId21" w:history="1">
              <w:r w:rsidR="00BB7D7A" w:rsidRPr="00BB7D7A">
                <w:rPr>
                  <w:rStyle w:val="af1"/>
                  <w:color w:val="2D5CA6"/>
                  <w:sz w:val="28"/>
                  <w:szCs w:val="28"/>
                </w:rPr>
                <w:t>–</w:t>
              </w:r>
            </w:hyperlink>
            <w:hyperlink r:id="rId22" w:history="1">
              <w:r w:rsidR="00BB7D7A" w:rsidRPr="00BB7D7A">
                <w:rPr>
                  <w:rStyle w:val="af1"/>
                  <w:color w:val="2D5CA6"/>
                  <w:sz w:val="28"/>
                  <w:szCs w:val="28"/>
                </w:rPr>
                <w:t>zayava</w:t>
              </w:r>
            </w:hyperlink>
            <w:hyperlink r:id="rId23" w:history="1">
              <w:r w:rsidR="00BB7D7A" w:rsidRPr="00BB7D7A">
                <w:rPr>
                  <w:rStyle w:val="af1"/>
                  <w:color w:val="2D5CA6"/>
                  <w:sz w:val="28"/>
                  <w:szCs w:val="28"/>
                </w:rPr>
                <w:t>–</w:t>
              </w:r>
            </w:hyperlink>
            <w:hyperlink r:id="rId24" w:history="1">
              <w:r w:rsidR="00BB7D7A" w:rsidRPr="00BB7D7A">
                <w:rPr>
                  <w:rStyle w:val="af1"/>
                  <w:color w:val="2D5CA6"/>
                  <w:sz w:val="28"/>
                  <w:szCs w:val="28"/>
                </w:rPr>
                <w:t>pro</w:t>
              </w:r>
            </w:hyperlink>
            <w:hyperlink r:id="rId25" w:history="1">
              <w:r w:rsidR="00BB7D7A" w:rsidRPr="00BB7D7A">
                <w:rPr>
                  <w:rStyle w:val="af1"/>
                  <w:color w:val="2D5CA6"/>
                  <w:sz w:val="28"/>
                  <w:szCs w:val="28"/>
                </w:rPr>
                <w:t>–</w:t>
              </w:r>
            </w:hyperlink>
            <w:r w:rsidR="00BB7D7A" w:rsidRPr="00BB7D7A">
              <w:rPr>
                <w:color w:val="191919"/>
                <w:sz w:val="28"/>
                <w:szCs w:val="28"/>
              </w:rPr>
              <w:t> </w:t>
            </w:r>
            <w:hyperlink r:id="rId26" w:history="1">
              <w:r w:rsidR="00BB7D7A" w:rsidRPr="00BB7D7A">
                <w:rPr>
                  <w:rStyle w:val="af1"/>
                  <w:color w:val="2D5CA6"/>
                  <w:sz w:val="28"/>
                  <w:szCs w:val="28"/>
                </w:rPr>
                <w:t>vnesennya</w:t>
              </w:r>
            </w:hyperlink>
            <w:hyperlink r:id="rId27" w:history="1">
              <w:r w:rsidR="00BB7D7A" w:rsidRPr="00BB7D7A">
                <w:rPr>
                  <w:rStyle w:val="af1"/>
                  <w:color w:val="2D5CA6"/>
                  <w:sz w:val="28"/>
                  <w:szCs w:val="28"/>
                </w:rPr>
                <w:t>–</w:t>
              </w:r>
            </w:hyperlink>
            <w:hyperlink r:id="rId28" w:history="1">
              <w:r w:rsidR="00BB7D7A" w:rsidRPr="00BB7D7A">
                <w:rPr>
                  <w:rStyle w:val="af1"/>
                  <w:color w:val="2D5CA6"/>
                  <w:sz w:val="28"/>
                  <w:szCs w:val="28"/>
                </w:rPr>
                <w:t>vidomostej</w:t>
              </w:r>
            </w:hyperlink>
            <w:hyperlink r:id="rId29" w:history="1">
              <w:r w:rsidR="00BB7D7A" w:rsidRPr="00BB7D7A">
                <w:rPr>
                  <w:rStyle w:val="af1"/>
                  <w:color w:val="2D5CA6"/>
                  <w:sz w:val="28"/>
                  <w:szCs w:val="28"/>
                </w:rPr>
                <w:t>–</w:t>
              </w:r>
            </w:hyperlink>
            <w:hyperlink r:id="rId30" w:history="1">
              <w:r w:rsidR="00BB7D7A" w:rsidRPr="00BB7D7A">
                <w:rPr>
                  <w:rStyle w:val="af1"/>
                  <w:color w:val="2D5CA6"/>
                  <w:sz w:val="28"/>
                  <w:szCs w:val="28"/>
                </w:rPr>
                <w:t>do</w:t>
              </w:r>
            </w:hyperlink>
            <w:hyperlink r:id="rId31" w:history="1">
              <w:r w:rsidR="00BB7D7A" w:rsidRPr="00BB7D7A">
                <w:rPr>
                  <w:rStyle w:val="af1"/>
                  <w:color w:val="2D5CA6"/>
                  <w:sz w:val="28"/>
                  <w:szCs w:val="28"/>
                </w:rPr>
                <w:t>–</w:t>
              </w:r>
            </w:hyperlink>
            <w:hyperlink r:id="rId32" w:history="1">
              <w:r w:rsidR="00BB7D7A" w:rsidRPr="00BB7D7A">
                <w:rPr>
                  <w:rStyle w:val="af1"/>
                  <w:color w:val="2D5CA6"/>
                  <w:sz w:val="28"/>
                  <w:szCs w:val="28"/>
                </w:rPr>
                <w:t>reyestru</w:t>
              </w:r>
            </w:hyperlink>
            <w:hyperlink r:id="rId33" w:history="1">
              <w:r w:rsidR="00BB7D7A" w:rsidRPr="00BB7D7A">
                <w:rPr>
                  <w:rStyle w:val="af1"/>
                  <w:color w:val="2D5CA6"/>
                  <w:sz w:val="28"/>
                  <w:szCs w:val="28"/>
                </w:rPr>
                <w:t>–</w:t>
              </w:r>
            </w:hyperlink>
            <w:hyperlink r:id="rId34" w:history="1">
              <w:r w:rsidR="00BB7D7A" w:rsidRPr="00BB7D7A">
                <w:rPr>
                  <w:rStyle w:val="af1"/>
                  <w:color w:val="2D5CA6"/>
                  <w:sz w:val="28"/>
                  <w:szCs w:val="28"/>
                </w:rPr>
                <w:t>osib</w:t>
              </w:r>
            </w:hyperlink>
            <w:hyperlink r:id="rId35" w:history="1">
              <w:r w:rsidR="00BB7D7A" w:rsidRPr="00BB7D7A">
                <w:rPr>
                  <w:rStyle w:val="af1"/>
                  <w:color w:val="2D5CA6"/>
                  <w:sz w:val="28"/>
                  <w:szCs w:val="28"/>
                </w:rPr>
                <w:t>–</w:t>
              </w:r>
            </w:hyperlink>
            <w:hyperlink r:id="rId36" w:history="1">
              <w:r w:rsidR="00BB7D7A" w:rsidRPr="00BB7D7A">
                <w:rPr>
                  <w:rStyle w:val="af1"/>
                  <w:color w:val="2D5CA6"/>
                  <w:sz w:val="28"/>
                  <w:szCs w:val="28"/>
                </w:rPr>
                <w:t>yaki</w:t>
              </w:r>
            </w:hyperlink>
            <w:hyperlink r:id="rId37" w:history="1">
              <w:r w:rsidR="00BB7D7A" w:rsidRPr="00BB7D7A">
                <w:rPr>
                  <w:rStyle w:val="af1"/>
                  <w:color w:val="2D5CA6"/>
                  <w:sz w:val="28"/>
                  <w:szCs w:val="28"/>
                </w:rPr>
                <w:t>–</w:t>
              </w:r>
            </w:hyperlink>
            <w:hyperlink r:id="rId38" w:history="1">
              <w:r w:rsidR="00BB7D7A" w:rsidRPr="00BB7D7A">
                <w:rPr>
                  <w:rStyle w:val="af1"/>
                  <w:color w:val="2D5CA6"/>
                  <w:sz w:val="28"/>
                  <w:szCs w:val="28"/>
                </w:rPr>
                <w:t>mayut</w:t>
              </w:r>
            </w:hyperlink>
            <w:hyperlink r:id="rId39" w:history="1">
              <w:r w:rsidR="00BB7D7A" w:rsidRPr="00BB7D7A">
                <w:rPr>
                  <w:rStyle w:val="af1"/>
                  <w:color w:val="2D5CA6"/>
                  <w:sz w:val="28"/>
                  <w:szCs w:val="28"/>
                </w:rPr>
                <w:t>–</w:t>
              </w:r>
            </w:hyperlink>
            <w:hyperlink r:id="rId40" w:history="1">
              <w:r w:rsidR="00BB7D7A" w:rsidRPr="00BB7D7A">
                <w:rPr>
                  <w:rStyle w:val="af1"/>
                  <w:color w:val="2D5CA6"/>
                  <w:sz w:val="28"/>
                  <w:szCs w:val="28"/>
                </w:rPr>
                <w:t>pravo</w:t>
              </w:r>
            </w:hyperlink>
            <w:hyperlink r:id="rId41" w:history="1">
              <w:r w:rsidR="00BB7D7A" w:rsidRPr="00BB7D7A">
                <w:rPr>
                  <w:rStyle w:val="af1"/>
                  <w:color w:val="2D5CA6"/>
                  <w:sz w:val="28"/>
                  <w:szCs w:val="28"/>
                </w:rPr>
                <w:t>–</w:t>
              </w:r>
            </w:hyperlink>
            <w:r w:rsidR="00BB7D7A" w:rsidRPr="00BB7D7A">
              <w:rPr>
                <w:color w:val="191919"/>
                <w:sz w:val="28"/>
                <w:szCs w:val="28"/>
              </w:rPr>
              <w:t> </w:t>
            </w:r>
            <w:hyperlink r:id="rId42" w:history="1">
              <w:r w:rsidR="00BB7D7A" w:rsidRPr="00BB7D7A">
                <w:rPr>
                  <w:rStyle w:val="af1"/>
                  <w:color w:val="2D5CA6"/>
                  <w:sz w:val="28"/>
                  <w:szCs w:val="28"/>
                </w:rPr>
                <w:t>na</w:t>
              </w:r>
            </w:hyperlink>
            <w:hyperlink r:id="rId43" w:history="1">
              <w:r w:rsidR="00BB7D7A" w:rsidRPr="00BB7D7A">
                <w:rPr>
                  <w:rStyle w:val="af1"/>
                  <w:color w:val="2D5CA6"/>
                  <w:sz w:val="28"/>
                  <w:szCs w:val="28"/>
                </w:rPr>
                <w:t>–</w:t>
              </w:r>
            </w:hyperlink>
            <w:hyperlink r:id="rId44" w:history="1">
              <w:r w:rsidR="00BB7D7A" w:rsidRPr="00BB7D7A">
                <w:rPr>
                  <w:rStyle w:val="af1"/>
                  <w:color w:val="2D5CA6"/>
                  <w:sz w:val="28"/>
                  <w:szCs w:val="28"/>
                </w:rPr>
                <w:t>pilgy/</w:t>
              </w:r>
            </w:hyperlink>
            <w:r w:rsidR="00BB7D7A" w:rsidRPr="00BB7D7A">
              <w:rPr>
                <w:color w:val="191919"/>
                <w:sz w:val="28"/>
                <w:szCs w:val="28"/>
              </w:rPr>
              <w:t>;</w:t>
            </w:r>
          </w:p>
          <w:p w14:paraId="2CA70DAC"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2.        Копії документів, що підтверджують право пільговика на пільги (з пред’явленням оригіналів зазначених документів);</w:t>
            </w:r>
          </w:p>
          <w:p w14:paraId="1FC452E2"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особи, зазначені у </w:t>
            </w:r>
            <w:hyperlink r:id="rId45" w:anchor="n45" w:history="1">
              <w:r w:rsidRPr="00BB7D7A">
                <w:rPr>
                  <w:rStyle w:val="af1"/>
                  <w:color w:val="2D5CA6"/>
                  <w:sz w:val="28"/>
                  <w:szCs w:val="28"/>
                </w:rPr>
                <w:t>статтях </w:t>
              </w:r>
            </w:hyperlink>
            <w:hyperlink r:id="rId46" w:anchor="n45" w:history="1">
              <w:r w:rsidRPr="00BB7D7A">
                <w:rPr>
                  <w:rStyle w:val="af1"/>
                  <w:color w:val="2D5CA6"/>
                  <w:sz w:val="28"/>
                  <w:szCs w:val="28"/>
                </w:rPr>
                <w:t>6</w:t>
              </w:r>
            </w:hyperlink>
            <w:hyperlink r:id="rId47" w:anchor="n45" w:history="1">
              <w:r w:rsidRPr="00BB7D7A">
                <w:rPr>
                  <w:rStyle w:val="af1"/>
                  <w:color w:val="2D5CA6"/>
                  <w:sz w:val="28"/>
                  <w:szCs w:val="28"/>
                </w:rPr>
                <w:t>–</w:t>
              </w:r>
            </w:hyperlink>
            <w:hyperlink r:id="rId48" w:anchor="n45" w:history="1">
              <w:r w:rsidRPr="00BB7D7A">
                <w:rPr>
                  <w:rStyle w:val="af1"/>
                  <w:color w:val="2D5CA6"/>
                  <w:sz w:val="28"/>
                  <w:szCs w:val="28"/>
                </w:rPr>
                <w:t>10</w:t>
              </w:r>
            </w:hyperlink>
            <w:hyperlink r:id="rId49" w:anchor="n45" w:history="1">
              <w:r w:rsidRPr="00BB7D7A">
                <w:rPr>
                  <w:rStyle w:val="af1"/>
                  <w:color w:val="2D5CA6"/>
                  <w:sz w:val="28"/>
                  <w:szCs w:val="28"/>
                  <w:vertAlign w:val="superscript"/>
                </w:rPr>
                <w:t>1</w:t>
              </w:r>
            </w:hyperlink>
            <w:r w:rsidRPr="00BB7D7A">
              <w:rPr>
                <w:color w:val="191919"/>
                <w:sz w:val="28"/>
                <w:szCs w:val="28"/>
              </w:rPr>
              <w:t>, </w:t>
            </w:r>
            <w:hyperlink r:id="rId50" w:anchor="n538" w:history="1">
              <w:r w:rsidRPr="00BB7D7A">
                <w:rPr>
                  <w:rStyle w:val="af1"/>
                  <w:color w:val="2D5CA6"/>
                  <w:sz w:val="28"/>
                  <w:szCs w:val="28"/>
                </w:rPr>
                <w:t>16</w:t>
              </w:r>
            </w:hyperlink>
            <w:hyperlink r:id="rId51" w:anchor="n538" w:history="1">
              <w:r w:rsidRPr="00BB7D7A">
                <w:rPr>
                  <w:rStyle w:val="af1"/>
                  <w:color w:val="2D5CA6"/>
                  <w:sz w:val="28"/>
                  <w:szCs w:val="28"/>
                  <w:vertAlign w:val="superscript"/>
                </w:rPr>
                <w:t>1</w:t>
              </w:r>
            </w:hyperlink>
            <w:r w:rsidRPr="00BB7D7A">
              <w:rPr>
                <w:color w:val="191919"/>
                <w:sz w:val="28"/>
                <w:szCs w:val="28"/>
              </w:rPr>
              <w:t xml:space="preserve">Закону України “Про статус ветеранів війни, гарантії їх соціального захисту“, – з </w:t>
            </w:r>
            <w:r w:rsidRPr="00BB7D7A">
              <w:rPr>
                <w:color w:val="191919"/>
                <w:sz w:val="28"/>
                <w:szCs w:val="28"/>
              </w:rPr>
              <w:lastRenderedPageBreak/>
              <w:t>пред’явленням відповідних посвідчень (оригіналів або електронного посвідчення ветерана) згідно із законодавством;</w:t>
            </w:r>
          </w:p>
          <w:p w14:paraId="49AC61F2"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3.   Копія документа, що засвідчує реєстрацію особи у Державному реєстрі фізичних осіб – платників податків (картка платника податків), зокрема копію, надану в електронній формі (за наявності в одержувача інформації технічної можливості провести перевірку відповідності реєстраційних даних фізичної особи за даними Державного реєстру фізичних осіб – платників податків в електронній формі інформаційно- комунікаційними засобами з використанням засобів технічного та криптографічного захисту інформації відповідно до вимог законодавства з питань захисту інформації), або копію паспорта громадянина України, або свідоцтва про народження (на вибір) із внесеними даними про реєстраційний номер облікової картки платника податків або з відповідною відміткою у разі, коли особа через свої релігійні переконання відмовилися від прийняття реєстраційного номера облікової картки платника податків;</w:t>
            </w:r>
          </w:p>
          <w:p w14:paraId="75366371"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4.   Унікальний номер запису в Єдиному державному демографічному реєстрі (за наявності);</w:t>
            </w:r>
          </w:p>
          <w:p w14:paraId="4291E0C9"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5.  У разі подання заяви законним представником або дієздатним повнолітнім членом сім’ї пільговика, на якого поширюються пільги, – копії документів, які підтверджують родинний зв’язок із пільговиком, або копії документів, що підтверджують законність представлення інтересів пільговика.</w:t>
            </w:r>
          </w:p>
          <w:p w14:paraId="716946E0"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Документи, які надаються в окремих випадках:</w:t>
            </w:r>
          </w:p>
          <w:p w14:paraId="6ED0E0A1"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 xml:space="preserve">у разі, якщо адреса фактичного місця проживання пільговика та </w:t>
            </w:r>
            <w:r w:rsidRPr="00BB7D7A">
              <w:rPr>
                <w:color w:val="191919"/>
                <w:sz w:val="28"/>
                <w:szCs w:val="28"/>
              </w:rPr>
              <w:lastRenderedPageBreak/>
              <w:t>членів його сім’ї (за якою в подальшому будуть призначатись, зокрема, пільги на оплату житлово-комунальних послуг, придбання скрапленого газу, твердого та рідкого пічного побутового палива) відрізняється від адреси зареєстрованого місця проживання, може бути наданий (один або декілька) офіційний документ, що підтверджує фактичне місце проживання пільговика:</w:t>
            </w:r>
          </w:p>
          <w:p w14:paraId="5E4677FF"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довідка про взяття на облік внутрішньо переміщеної особи;</w:t>
            </w:r>
          </w:p>
          <w:p w14:paraId="5076670C"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рішення суду про визначення місця проживання; договір оренди житла;</w:t>
            </w:r>
          </w:p>
          <w:p w14:paraId="13FC056D" w14:textId="58299F6E" w:rsidR="00BF6EE7" w:rsidRPr="00BB7D7A" w:rsidRDefault="00BB7D7A" w:rsidP="007B5DD2">
            <w:pPr>
              <w:pStyle w:val="af0"/>
              <w:spacing w:before="0" w:beforeAutospacing="0" w:after="150" w:afterAutospacing="0"/>
            </w:pPr>
            <w:r w:rsidRPr="00BB7D7A">
              <w:rPr>
                <w:color w:val="191919"/>
                <w:sz w:val="28"/>
                <w:szCs w:val="28"/>
              </w:rPr>
              <w:t>у разі відсутності зазначених документів – акт обстеження  матеріально-побутових умов домогосподарства / фактичного місця проживання особи (складається посадовою особою виконавчого органу сільської, селищної, міської ради відповідної територіальної громади або військової адміністрації та передається до органу Пенсійного фонду України).</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2C0A67D" w:rsidR="008C237A" w:rsidRPr="00BF6EE7" w:rsidRDefault="004618B8" w:rsidP="004618B8">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42E46B3" w14:textId="77777777" w:rsidR="00BB7D7A" w:rsidRPr="00BB7D7A" w:rsidRDefault="00A02DB4" w:rsidP="00BB7D7A">
            <w:pPr>
              <w:pStyle w:val="af0"/>
              <w:spacing w:before="0" w:beforeAutospacing="0" w:after="150" w:afterAutospacing="0"/>
              <w:rPr>
                <w:color w:val="191919"/>
                <w:sz w:val="28"/>
                <w:szCs w:val="28"/>
              </w:rPr>
            </w:pPr>
            <w:r w:rsidRPr="00BB7D7A">
              <w:rPr>
                <w:sz w:val="28"/>
                <w:szCs w:val="28"/>
              </w:rPr>
              <w:t xml:space="preserve"> </w:t>
            </w:r>
            <w:r w:rsidR="00245822" w:rsidRPr="00BB7D7A">
              <w:rPr>
                <w:sz w:val="28"/>
                <w:szCs w:val="28"/>
              </w:rPr>
              <w:t xml:space="preserve"> </w:t>
            </w:r>
            <w:r w:rsidR="00BB7D7A" w:rsidRPr="00BB7D7A">
              <w:rPr>
                <w:color w:val="191919"/>
                <w:sz w:val="28"/>
                <w:szCs w:val="28"/>
              </w:rPr>
              <w:t>У паперовій формі при особистому зверненні (до суб’єкта надання адміністративної послуги та / або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 або поштовим відправленням (на адресу суб’єкта надання адміністративної послуги);</w:t>
            </w:r>
          </w:p>
          <w:p w14:paraId="17D64295" w14:textId="4FD615CD" w:rsidR="008C237A" w:rsidRPr="00BF6EE7" w:rsidRDefault="00BB7D7A" w:rsidP="007B5DD2">
            <w:pPr>
              <w:pStyle w:val="af0"/>
              <w:spacing w:before="0" w:beforeAutospacing="0" w:after="150" w:afterAutospacing="0"/>
              <w:rPr>
                <w:sz w:val="28"/>
                <w:szCs w:val="28"/>
              </w:rPr>
            </w:pPr>
            <w:r w:rsidRPr="00BB7D7A">
              <w:rPr>
                <w:color w:val="191919"/>
                <w:sz w:val="28"/>
                <w:szCs w:val="28"/>
              </w:rPr>
              <w:t xml:space="preserve">в електронній формі через Єдиний соціальний реєстр як складову частину Єдиної інформаційної системи соціальної сфери, інтегровані з нею інформаційні системи органів виконавчої влади </w:t>
            </w:r>
            <w:r w:rsidRPr="00BB7D7A">
              <w:rPr>
                <w:color w:val="191919"/>
                <w:sz w:val="28"/>
                <w:szCs w:val="28"/>
              </w:rPr>
              <w:lastRenderedPageBreak/>
              <w:t xml:space="preserve">та органів місцевого самоврядування, </w:t>
            </w:r>
            <w:proofErr w:type="spellStart"/>
            <w:r w:rsidRPr="00BB7D7A">
              <w:rPr>
                <w:color w:val="191919"/>
                <w:sz w:val="28"/>
                <w:szCs w:val="28"/>
              </w:rPr>
              <w:t>вебпортал</w:t>
            </w:r>
            <w:proofErr w:type="spellEnd"/>
            <w:r w:rsidRPr="00BB7D7A">
              <w:rPr>
                <w:color w:val="191919"/>
                <w:sz w:val="28"/>
                <w:szCs w:val="28"/>
              </w:rPr>
              <w:t xml:space="preserve"> електронних послуг Пенсійного фонду України, мобільний додаток Пенсійного фонду України або Єдиний державний </w:t>
            </w:r>
            <w:proofErr w:type="spellStart"/>
            <w:r w:rsidRPr="00BB7D7A">
              <w:rPr>
                <w:color w:val="191919"/>
                <w:sz w:val="28"/>
                <w:szCs w:val="28"/>
              </w:rPr>
              <w:t>вебпортал</w:t>
            </w:r>
            <w:proofErr w:type="spellEnd"/>
            <w:r w:rsidRPr="00BB7D7A">
              <w:rPr>
                <w:color w:val="191919"/>
                <w:sz w:val="28"/>
                <w:szCs w:val="28"/>
              </w:rPr>
              <w:t xml:space="preserve"> електронних послуг (Портал Дія).</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04C7D698" w:rsidR="008C237A" w:rsidRPr="00BF6EE7" w:rsidRDefault="004618B8" w:rsidP="004618B8">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3D084B3B" w:rsidR="008C237A" w:rsidRPr="00BF6EE7" w:rsidRDefault="00BB7D7A">
            <w:pPr>
              <w:jc w:val="both"/>
              <w:rPr>
                <w:rFonts w:ascii="Times New Roman" w:hAnsi="Times New Roman" w:cs="Times New Roman"/>
                <w:sz w:val="28"/>
                <w:szCs w:val="28"/>
              </w:rPr>
            </w:pPr>
            <w:r>
              <w:rPr>
                <w:rFonts w:ascii="Times New Roman" w:hAnsi="Times New Roman" w:cs="Times New Roman"/>
                <w:sz w:val="28"/>
                <w:szCs w:val="28"/>
              </w:rPr>
              <w:t xml:space="preserve"> Надається б</w:t>
            </w:r>
            <w:r w:rsidR="00150549" w:rsidRPr="00BF6EE7">
              <w:rPr>
                <w:rFonts w:ascii="Times New Roman" w:hAnsi="Times New Roman" w:cs="Times New Roman"/>
                <w:sz w:val="28"/>
                <w:szCs w:val="28"/>
              </w:rPr>
              <w:t>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1ACECADB" w:rsidR="008C237A" w:rsidRPr="00BF6EE7" w:rsidRDefault="004618B8" w:rsidP="004618B8">
            <w:pPr>
              <w:rPr>
                <w:rFonts w:ascii="Times New Roman" w:hAnsi="Times New Roman" w:cs="Times New Roman"/>
                <w:sz w:val="28"/>
                <w:szCs w:val="28"/>
              </w:rPr>
            </w:pPr>
            <w:r>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78DC61D7" w:rsidR="008C237A" w:rsidRPr="00BB7D7A" w:rsidRDefault="00A02DB4" w:rsidP="006D7474">
            <w:pPr>
              <w:shd w:val="clear" w:color="auto" w:fill="FFFFFF"/>
              <w:spacing w:after="150"/>
              <w:jc w:val="both"/>
              <w:rPr>
                <w:rFonts w:ascii="Times New Roman" w:hAnsi="Times New Roman" w:cs="Times New Roman"/>
                <w:sz w:val="28"/>
                <w:szCs w:val="28"/>
              </w:rPr>
            </w:pPr>
            <w:r w:rsidRPr="00BB7D7A">
              <w:rPr>
                <w:rFonts w:ascii="Times New Roman" w:hAnsi="Times New Roman" w:cs="Times New Roman"/>
                <w:sz w:val="28"/>
                <w:szCs w:val="28"/>
              </w:rPr>
              <w:t xml:space="preserve"> </w:t>
            </w:r>
            <w:r w:rsidR="006D7474" w:rsidRPr="00BB7D7A">
              <w:rPr>
                <w:rFonts w:ascii="Times New Roman" w:hAnsi="Times New Roman" w:cs="Times New Roman"/>
                <w:sz w:val="28"/>
                <w:szCs w:val="28"/>
              </w:rPr>
              <w:t xml:space="preserve"> </w:t>
            </w:r>
            <w:r w:rsidR="00BB7D7A" w:rsidRPr="00BB7D7A">
              <w:rPr>
                <w:rFonts w:ascii="Times New Roman" w:hAnsi="Times New Roman" w:cs="Times New Roman"/>
                <w:color w:val="191919"/>
                <w:sz w:val="28"/>
                <w:szCs w:val="28"/>
                <w:shd w:val="clear" w:color="auto" w:fill="FFFFFF"/>
              </w:rPr>
              <w:t>Протягом робочого дня.</w:t>
            </w:r>
          </w:p>
        </w:tc>
      </w:tr>
      <w:tr w:rsidR="008C237A" w:rsidRPr="00BF6EE7"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113ADD26" w:rsidR="008C237A" w:rsidRPr="00BF6EE7" w:rsidRDefault="004618B8">
            <w:pPr>
              <w:rPr>
                <w:rFonts w:ascii="Times New Roman" w:hAnsi="Times New Roman" w:cs="Times New Roman"/>
                <w:sz w:val="28"/>
                <w:szCs w:val="28"/>
              </w:rPr>
            </w:pPr>
            <w:r>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6322D62" w14:textId="77777777" w:rsidR="00BB7D7A" w:rsidRPr="00BB7D7A" w:rsidRDefault="00BB7D7A" w:rsidP="00BB7D7A">
            <w:pPr>
              <w:pStyle w:val="af0"/>
              <w:spacing w:before="0" w:beforeAutospacing="0" w:after="150" w:afterAutospacing="0"/>
              <w:rPr>
                <w:color w:val="191919"/>
                <w:sz w:val="28"/>
                <w:szCs w:val="28"/>
              </w:rPr>
            </w:pPr>
            <w:r w:rsidRPr="00BB7D7A">
              <w:rPr>
                <w:color w:val="191919"/>
                <w:sz w:val="28"/>
                <w:szCs w:val="28"/>
              </w:rPr>
              <w:t>1.  Не підтверджено право пільговика на пільги.</w:t>
            </w:r>
          </w:p>
          <w:p w14:paraId="01A3C6A4" w14:textId="78499B74" w:rsidR="008C237A" w:rsidRPr="00BB7D7A" w:rsidRDefault="00BB7D7A" w:rsidP="00BB7D7A">
            <w:pPr>
              <w:pStyle w:val="af0"/>
              <w:spacing w:before="0" w:beforeAutospacing="0" w:after="150" w:afterAutospacing="0"/>
              <w:rPr>
                <w:color w:val="191919"/>
                <w:sz w:val="28"/>
                <w:szCs w:val="28"/>
              </w:rPr>
            </w:pPr>
            <w:r w:rsidRPr="00BB7D7A">
              <w:rPr>
                <w:color w:val="191919"/>
                <w:sz w:val="28"/>
                <w:szCs w:val="28"/>
              </w:rPr>
              <w:t>2.  Подано некоректні / недостовірні відомості або не подано необхідні документи (згідно з переліком, який зазначено у пункті 9 цієї інформаційної картки).</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B87A306" w:rsidR="008C237A" w:rsidRPr="00BF6EE7" w:rsidRDefault="004618B8">
            <w:pPr>
              <w:rPr>
                <w:rFonts w:ascii="Times New Roman" w:hAnsi="Times New Roman" w:cs="Times New Roman"/>
                <w:sz w:val="28"/>
                <w:szCs w:val="28"/>
              </w:rPr>
            </w:pPr>
            <w:r>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4D03B4C4" w:rsidR="008C237A" w:rsidRPr="00BB7D7A" w:rsidRDefault="00BB7D7A" w:rsidP="00A02DB4">
            <w:pPr>
              <w:tabs>
                <w:tab w:val="left" w:pos="358"/>
                <w:tab w:val="left" w:pos="449"/>
              </w:tabs>
              <w:jc w:val="both"/>
              <w:rPr>
                <w:rFonts w:ascii="Times New Roman" w:hAnsi="Times New Roman" w:cs="Times New Roman"/>
                <w:b/>
                <w:bCs/>
                <w:sz w:val="28"/>
                <w:szCs w:val="28"/>
              </w:rPr>
            </w:pPr>
            <w:r w:rsidRPr="00BB7D7A">
              <w:rPr>
                <w:rFonts w:ascii="Times New Roman" w:hAnsi="Times New Roman" w:cs="Times New Roman"/>
                <w:color w:val="191919"/>
                <w:sz w:val="28"/>
                <w:szCs w:val="28"/>
                <w:shd w:val="clear" w:color="auto" w:fill="FFFFFF"/>
              </w:rPr>
              <w:t>Внесення / невнесення даних до Реєстру осіб, які мають право на пільги.</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4793E205" w:rsidR="008C237A" w:rsidRPr="00BF6EE7" w:rsidRDefault="004618B8">
            <w:pPr>
              <w:rPr>
                <w:rFonts w:ascii="Times New Roman" w:hAnsi="Times New Roman" w:cs="Times New Roman"/>
                <w:sz w:val="28"/>
                <w:szCs w:val="28"/>
              </w:rPr>
            </w:pPr>
            <w:r>
              <w:rPr>
                <w:rFonts w:ascii="Times New Roman" w:hAnsi="Times New Roman" w:cs="Times New Roman"/>
                <w:sz w:val="28"/>
                <w:szCs w:val="28"/>
              </w:rPr>
              <w:t>15</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6E435AB6" w:rsidR="008C237A" w:rsidRPr="00BF6EE7" w:rsidRDefault="00BB7D7A">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BB7D7A">
              <w:rPr>
                <w:rFonts w:ascii="Times New Roman" w:hAnsi="Times New Roman" w:cs="Times New Roman"/>
                <w:color w:val="191919"/>
                <w:sz w:val="28"/>
                <w:szCs w:val="28"/>
                <w:shd w:val="clear" w:color="auto" w:fill="FFFFFF"/>
              </w:rPr>
              <w:t>Про результат внесення інформації до Реєстру осіб, які мають право на пільги, суб’єкт звернення повідомляється особисто під час звернення</w:t>
            </w:r>
            <w:r>
              <w:rPr>
                <w:rFonts w:ascii="Roboto" w:hAnsi="Roboto"/>
                <w:color w:val="191919"/>
                <w:shd w:val="clear" w:color="auto" w:fill="FFFFFF"/>
              </w:rPr>
              <w:t>.</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52"/>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16449" w14:textId="77777777" w:rsidR="00534B48" w:rsidRDefault="00534B48">
      <w:r>
        <w:separator/>
      </w:r>
    </w:p>
  </w:endnote>
  <w:endnote w:type="continuationSeparator" w:id="0">
    <w:p w14:paraId="4593FC7F" w14:textId="77777777" w:rsidR="00534B48" w:rsidRDefault="0053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F641E" w14:textId="77777777" w:rsidR="00534B48" w:rsidRDefault="00534B48">
      <w:r>
        <w:separator/>
      </w:r>
    </w:p>
  </w:footnote>
  <w:footnote w:type="continuationSeparator" w:id="0">
    <w:p w14:paraId="745AB3FD" w14:textId="77777777" w:rsidR="00534B48" w:rsidRDefault="00534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262626">
      <w:rPr>
        <w:noProof/>
        <w:color w:val="000000"/>
        <w:sz w:val="28"/>
        <w:szCs w:val="28"/>
      </w:rPr>
      <w:t>8</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C07D7"/>
    <w:rsid w:val="00150549"/>
    <w:rsid w:val="001B6982"/>
    <w:rsid w:val="002128E5"/>
    <w:rsid w:val="00226F24"/>
    <w:rsid w:val="00245822"/>
    <w:rsid w:val="00262626"/>
    <w:rsid w:val="00310F1C"/>
    <w:rsid w:val="003247CB"/>
    <w:rsid w:val="004618B8"/>
    <w:rsid w:val="004716E3"/>
    <w:rsid w:val="004C0845"/>
    <w:rsid w:val="00534B48"/>
    <w:rsid w:val="005739A2"/>
    <w:rsid w:val="005B1D6F"/>
    <w:rsid w:val="005B56FF"/>
    <w:rsid w:val="00627268"/>
    <w:rsid w:val="006B3AC2"/>
    <w:rsid w:val="006D594E"/>
    <w:rsid w:val="006D7474"/>
    <w:rsid w:val="00745E1B"/>
    <w:rsid w:val="00765B19"/>
    <w:rsid w:val="00780422"/>
    <w:rsid w:val="007B5DD2"/>
    <w:rsid w:val="008C237A"/>
    <w:rsid w:val="009C1575"/>
    <w:rsid w:val="009D3E2A"/>
    <w:rsid w:val="00A02DB4"/>
    <w:rsid w:val="00BB7D7A"/>
    <w:rsid w:val="00BF6EE7"/>
    <w:rsid w:val="00CC0DB4"/>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B56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B56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B56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B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7150">
      <w:bodyDiv w:val="1"/>
      <w:marLeft w:val="0"/>
      <w:marRight w:val="0"/>
      <w:marTop w:val="0"/>
      <w:marBottom w:val="0"/>
      <w:divBdr>
        <w:top w:val="none" w:sz="0" w:space="0" w:color="auto"/>
        <w:left w:val="none" w:sz="0" w:space="0" w:color="auto"/>
        <w:bottom w:val="none" w:sz="0" w:space="0" w:color="auto"/>
        <w:right w:val="none" w:sz="0" w:space="0" w:color="auto"/>
      </w:divBdr>
    </w:div>
    <w:div w:id="750659973">
      <w:bodyDiv w:val="1"/>
      <w:marLeft w:val="0"/>
      <w:marRight w:val="0"/>
      <w:marTop w:val="0"/>
      <w:marBottom w:val="0"/>
      <w:divBdr>
        <w:top w:val="none" w:sz="0" w:space="0" w:color="auto"/>
        <w:left w:val="none" w:sz="0" w:space="0" w:color="auto"/>
        <w:bottom w:val="none" w:sz="0" w:space="0" w:color="auto"/>
        <w:right w:val="none" w:sz="0" w:space="0" w:color="auto"/>
      </w:divBdr>
    </w:div>
    <w:div w:id="865871313">
      <w:bodyDiv w:val="1"/>
      <w:marLeft w:val="0"/>
      <w:marRight w:val="0"/>
      <w:marTop w:val="0"/>
      <w:marBottom w:val="0"/>
      <w:divBdr>
        <w:top w:val="none" w:sz="0" w:space="0" w:color="auto"/>
        <w:left w:val="none" w:sz="0" w:space="0" w:color="auto"/>
        <w:bottom w:val="none" w:sz="0" w:space="0" w:color="auto"/>
        <w:right w:val="none" w:sz="0" w:space="0" w:color="auto"/>
      </w:divBdr>
    </w:div>
    <w:div w:id="1295915765">
      <w:bodyDiv w:val="1"/>
      <w:marLeft w:val="0"/>
      <w:marRight w:val="0"/>
      <w:marTop w:val="0"/>
      <w:marBottom w:val="0"/>
      <w:divBdr>
        <w:top w:val="none" w:sz="0" w:space="0" w:color="auto"/>
        <w:left w:val="none" w:sz="0" w:space="0" w:color="auto"/>
        <w:bottom w:val="none" w:sz="0" w:space="0" w:color="auto"/>
        <w:right w:val="none" w:sz="0" w:space="0" w:color="auto"/>
      </w:divBdr>
    </w:div>
    <w:div w:id="1318650548">
      <w:bodyDiv w:val="1"/>
      <w:marLeft w:val="0"/>
      <w:marRight w:val="0"/>
      <w:marTop w:val="0"/>
      <w:marBottom w:val="0"/>
      <w:divBdr>
        <w:top w:val="none" w:sz="0" w:space="0" w:color="auto"/>
        <w:left w:val="none" w:sz="0" w:space="0" w:color="auto"/>
        <w:bottom w:val="none" w:sz="0" w:space="0" w:color="auto"/>
        <w:right w:val="none" w:sz="0" w:space="0" w:color="auto"/>
      </w:divBdr>
    </w:div>
    <w:div w:id="1356804977">
      <w:bodyDiv w:val="1"/>
      <w:marLeft w:val="0"/>
      <w:marRight w:val="0"/>
      <w:marTop w:val="0"/>
      <w:marBottom w:val="0"/>
      <w:divBdr>
        <w:top w:val="none" w:sz="0" w:space="0" w:color="auto"/>
        <w:left w:val="none" w:sz="0" w:space="0" w:color="auto"/>
        <w:bottom w:val="none" w:sz="0" w:space="0" w:color="auto"/>
        <w:right w:val="none" w:sz="0" w:space="0" w:color="auto"/>
      </w:divBdr>
    </w:div>
    <w:div w:id="1675643414">
      <w:bodyDiv w:val="1"/>
      <w:marLeft w:val="0"/>
      <w:marRight w:val="0"/>
      <w:marTop w:val="0"/>
      <w:marBottom w:val="0"/>
      <w:divBdr>
        <w:top w:val="none" w:sz="0" w:space="0" w:color="auto"/>
        <w:left w:val="none" w:sz="0" w:space="0" w:color="auto"/>
        <w:bottom w:val="none" w:sz="0" w:space="0" w:color="auto"/>
        <w:right w:val="none" w:sz="0" w:space="0" w:color="auto"/>
      </w:divBdr>
    </w:div>
    <w:div w:id="1946618004">
      <w:bodyDiv w:val="1"/>
      <w:marLeft w:val="0"/>
      <w:marRight w:val="0"/>
      <w:marTop w:val="0"/>
      <w:marBottom w:val="0"/>
      <w:divBdr>
        <w:top w:val="none" w:sz="0" w:space="0" w:color="auto"/>
        <w:left w:val="none" w:sz="0" w:space="0" w:color="auto"/>
        <w:bottom w:val="none" w:sz="0" w:space="0" w:color="auto"/>
        <w:right w:val="none" w:sz="0" w:space="0" w:color="auto"/>
      </w:divBdr>
    </w:div>
    <w:div w:id="2032762714">
      <w:bodyDiv w:val="1"/>
      <w:marLeft w:val="0"/>
      <w:marRight w:val="0"/>
      <w:marTop w:val="0"/>
      <w:marBottom w:val="0"/>
      <w:divBdr>
        <w:top w:val="none" w:sz="0" w:space="0" w:color="auto"/>
        <w:left w:val="none" w:sz="0" w:space="0" w:color="auto"/>
        <w:bottom w:val="none" w:sz="0" w:space="0" w:color="auto"/>
        <w:right w:val="none" w:sz="0" w:space="0" w:color="auto"/>
      </w:divBdr>
    </w:div>
    <w:div w:id="210483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5403-17" TargetMode="External"/><Relationship Id="rId18" Type="http://schemas.openxmlformats.org/officeDocument/2006/relationships/hyperlink" Target="https://zakon.rada.gov.ua/laws/show/2801-12" TargetMode="External"/><Relationship Id="rId26" Type="http://schemas.openxmlformats.org/officeDocument/2006/relationships/hyperlink" Target="https://www.pfu.gov.ua/2166485-zayava-pro-vnesennya-vidomostej-do-reyestru-osib-yaki-mayut-pravo-na-pilgy/" TargetMode="External"/><Relationship Id="rId39" Type="http://schemas.openxmlformats.org/officeDocument/2006/relationships/hyperlink" Target="https://www.pfu.gov.ua/2166485-zayava-pro-vnesennya-vidomostej-do-reyestru-osib-yaki-mayut-pravo-na-pilgy/" TargetMode="External"/><Relationship Id="rId21" Type="http://schemas.openxmlformats.org/officeDocument/2006/relationships/hyperlink" Target="https://www.pfu.gov.ua/2166485-zayava-pro-vnesennya-vidomostej-do-reyestru-osib-yaki-mayut-pravo-na-pilgy/" TargetMode="External"/><Relationship Id="rId34" Type="http://schemas.openxmlformats.org/officeDocument/2006/relationships/hyperlink" Target="https://www.pfu.gov.ua/2166485-zayava-pro-vnesennya-vidomostej-do-reyestru-osib-yaki-mayut-pravo-na-pilgy/" TargetMode="External"/><Relationship Id="rId42" Type="http://schemas.openxmlformats.org/officeDocument/2006/relationships/hyperlink" Target="https://www.pfu.gov.ua/2166485-zayava-pro-vnesennya-vidomostej-do-reyestru-osib-yaki-mayut-pravo-na-pilgy/" TargetMode="External"/><Relationship Id="rId47" Type="http://schemas.openxmlformats.org/officeDocument/2006/relationships/hyperlink" Target="https://zakon.rada.gov.ua/laws/show/3551-12" TargetMode="External"/><Relationship Id="rId50" Type="http://schemas.openxmlformats.org/officeDocument/2006/relationships/hyperlink" Target="https://zakon.rada.gov.ua/laws/show/3551-1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zakon.rada.gov.ua/laws/show/2801-12" TargetMode="External"/><Relationship Id="rId29" Type="http://schemas.openxmlformats.org/officeDocument/2006/relationships/hyperlink" Target="https://www.pfu.gov.ua/2166485-zayava-pro-vnesennya-vidomostej-do-reyestru-osib-yaki-mayut-pravo-na-pilgy/" TargetMode="External"/><Relationship Id="rId11" Type="http://schemas.openxmlformats.org/officeDocument/2006/relationships/hyperlink" Target="https://zakon.rada.gov.ua/laws/show/5403-17" TargetMode="External"/><Relationship Id="rId24" Type="http://schemas.openxmlformats.org/officeDocument/2006/relationships/hyperlink" Target="https://www.pfu.gov.ua/2166485-zayava-pro-vnesennya-vidomostej-do-reyestru-osib-yaki-mayut-pravo-na-pilgy/" TargetMode="External"/><Relationship Id="rId32" Type="http://schemas.openxmlformats.org/officeDocument/2006/relationships/hyperlink" Target="https://www.pfu.gov.ua/2166485-zayava-pro-vnesennya-vidomostej-do-reyestru-osib-yaki-mayut-pravo-na-pilgy/" TargetMode="External"/><Relationship Id="rId37" Type="http://schemas.openxmlformats.org/officeDocument/2006/relationships/hyperlink" Target="https://www.pfu.gov.ua/2166485-zayava-pro-vnesennya-vidomostej-do-reyestru-osib-yaki-mayut-pravo-na-pilgy/" TargetMode="External"/><Relationship Id="rId40" Type="http://schemas.openxmlformats.org/officeDocument/2006/relationships/hyperlink" Target="https://www.pfu.gov.ua/2166485-zayava-pro-vnesennya-vidomostej-do-reyestru-osib-yaki-mayut-pravo-na-pilgy/" TargetMode="External"/><Relationship Id="rId45" Type="http://schemas.openxmlformats.org/officeDocument/2006/relationships/hyperlink" Target="https://zakon.rada.gov.ua/laws/show/3551-12" TargetMode="External"/><Relationship Id="rId53"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zakon.rada.gov.ua/laws/show/5403-17" TargetMode="External"/><Relationship Id="rId19" Type="http://schemas.openxmlformats.org/officeDocument/2006/relationships/hyperlink" Target="https://zakon.rada.gov.ua/laws/show/2801-12" TargetMode="External"/><Relationship Id="rId31" Type="http://schemas.openxmlformats.org/officeDocument/2006/relationships/hyperlink" Target="https://www.pfu.gov.ua/2166485-zayava-pro-vnesennya-vidomostej-do-reyestru-osib-yaki-mayut-pravo-na-pilgy/" TargetMode="External"/><Relationship Id="rId44" Type="http://schemas.openxmlformats.org/officeDocument/2006/relationships/hyperlink" Target="https://www.pfu.gov.ua/2166485-zayava-pro-vnesennya-vidomostej-do-reyestru-osib-yaki-mayut-pravo-na-pilgy/" TargetMode="Externa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zakon.rada.gov.ua/laws/show/2801-12" TargetMode="External"/><Relationship Id="rId22" Type="http://schemas.openxmlformats.org/officeDocument/2006/relationships/hyperlink" Target="https://www.pfu.gov.ua/2166485-zayava-pro-vnesennya-vidomostej-do-reyestru-osib-yaki-mayut-pravo-na-pilgy/" TargetMode="External"/><Relationship Id="rId27" Type="http://schemas.openxmlformats.org/officeDocument/2006/relationships/hyperlink" Target="https://www.pfu.gov.ua/2166485-zayava-pro-vnesennya-vidomostej-do-reyestru-osib-yaki-mayut-pravo-na-pilgy/" TargetMode="External"/><Relationship Id="rId30" Type="http://schemas.openxmlformats.org/officeDocument/2006/relationships/hyperlink" Target="https://www.pfu.gov.ua/2166485-zayava-pro-vnesennya-vidomostej-do-reyestru-osib-yaki-mayut-pravo-na-pilgy/" TargetMode="External"/><Relationship Id="rId35" Type="http://schemas.openxmlformats.org/officeDocument/2006/relationships/hyperlink" Target="https://www.pfu.gov.ua/2166485-zayava-pro-vnesennya-vidomostej-do-reyestru-osib-yaki-mayut-pravo-na-pilgy/" TargetMode="External"/><Relationship Id="rId43" Type="http://schemas.openxmlformats.org/officeDocument/2006/relationships/hyperlink" Target="https://www.pfu.gov.ua/2166485-zayava-pro-vnesennya-vidomostej-do-reyestru-osib-yaki-mayut-pravo-na-pilgy/" TargetMode="External"/><Relationship Id="rId48" Type="http://schemas.openxmlformats.org/officeDocument/2006/relationships/hyperlink" Target="https://zakon.rada.gov.ua/laws/show/3551-12" TargetMode="External"/><Relationship Id="rId8" Type="http://schemas.openxmlformats.org/officeDocument/2006/relationships/footnotes" Target="footnotes.xml"/><Relationship Id="rId51" Type="http://schemas.openxmlformats.org/officeDocument/2006/relationships/hyperlink" Target="https://zakon.rada.gov.ua/laws/show/3551-12" TargetMode="External"/><Relationship Id="rId3" Type="http://schemas.openxmlformats.org/officeDocument/2006/relationships/numbering" Target="numbering.xml"/><Relationship Id="rId12" Type="http://schemas.openxmlformats.org/officeDocument/2006/relationships/hyperlink" Target="https://zakon.rada.gov.ua/laws/show/5403-17" TargetMode="External"/><Relationship Id="rId17" Type="http://schemas.openxmlformats.org/officeDocument/2006/relationships/hyperlink" Target="https://zakon.rada.gov.ua/laws/show/2801-12" TargetMode="External"/><Relationship Id="rId25" Type="http://schemas.openxmlformats.org/officeDocument/2006/relationships/hyperlink" Target="https://www.pfu.gov.ua/2166485-zayava-pro-vnesennya-vidomostej-do-reyestru-osib-yaki-mayut-pravo-na-pilgy/" TargetMode="External"/><Relationship Id="rId33" Type="http://schemas.openxmlformats.org/officeDocument/2006/relationships/hyperlink" Target="https://www.pfu.gov.ua/2166485-zayava-pro-vnesennya-vidomostej-do-reyestru-osib-yaki-mayut-pravo-na-pilgy/" TargetMode="External"/><Relationship Id="rId38" Type="http://schemas.openxmlformats.org/officeDocument/2006/relationships/hyperlink" Target="https://www.pfu.gov.ua/2166485-zayava-pro-vnesennya-vidomostej-do-reyestru-osib-yaki-mayut-pravo-na-pilgy/" TargetMode="External"/><Relationship Id="rId46" Type="http://schemas.openxmlformats.org/officeDocument/2006/relationships/hyperlink" Target="https://zakon.rada.gov.ua/laws/show/3551-12" TargetMode="External"/><Relationship Id="rId20" Type="http://schemas.openxmlformats.org/officeDocument/2006/relationships/hyperlink" Target="https://www.pfu.gov.ua/2166485-zayava-pro-vnesennya-vidomostej-do-reyestru-osib-yaki-mayut-pravo-na-pilgy/" TargetMode="External"/><Relationship Id="rId41" Type="http://schemas.openxmlformats.org/officeDocument/2006/relationships/hyperlink" Target="https://www.pfu.gov.ua/2166485-zayava-pro-vnesennya-vidomostej-do-reyestru-osib-yaki-mayut-pravo-na-pilg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zakon.rada.gov.ua/laws/show/2801-12" TargetMode="External"/><Relationship Id="rId23" Type="http://schemas.openxmlformats.org/officeDocument/2006/relationships/hyperlink" Target="https://www.pfu.gov.ua/2166485-zayava-pro-vnesennya-vidomostej-do-reyestru-osib-yaki-mayut-pravo-na-pilgy/" TargetMode="External"/><Relationship Id="rId28" Type="http://schemas.openxmlformats.org/officeDocument/2006/relationships/hyperlink" Target="https://www.pfu.gov.ua/2166485-zayava-pro-vnesennya-vidomostej-do-reyestru-osib-yaki-mayut-pravo-na-pilgy/" TargetMode="External"/><Relationship Id="rId36" Type="http://schemas.openxmlformats.org/officeDocument/2006/relationships/hyperlink" Target="https://www.pfu.gov.ua/2166485-zayava-pro-vnesennya-vidomostej-do-reyestru-osib-yaki-mayut-pravo-na-pilgy/" TargetMode="External"/><Relationship Id="rId49"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9EDB3-573F-4EB1-85BC-6FCCC8CF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8905</Words>
  <Characters>5076</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7</cp:revision>
  <cp:lastPrinted>2025-01-27T11:57:00Z</cp:lastPrinted>
  <dcterms:created xsi:type="dcterms:W3CDTF">2025-11-25T09:28:00Z</dcterms:created>
  <dcterms:modified xsi:type="dcterms:W3CDTF">2026-01-14T10:42:00Z</dcterms:modified>
</cp:coreProperties>
</file>