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78A4" w14:textId="3907B2FD" w:rsidR="00496C26" w:rsidRDefault="00516DDF" w:rsidP="00496C26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bookmarkStart w:id="0" w:name="_Hlk204326395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 xml:space="preserve">                                                                                  </w:t>
      </w:r>
      <w:r w:rsidR="00496C26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ПРОЄКТ</w:t>
      </w:r>
    </w:p>
    <w:p w14:paraId="5384CC89" w14:textId="3E001F2A" w:rsidR="00496C26" w:rsidRPr="004C4D67" w:rsidRDefault="00312143" w:rsidP="00496C26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>
        <w:rPr>
          <w:noProof/>
        </w:rPr>
        <w:drawing>
          <wp:inline distT="0" distB="0" distL="0" distR="0" wp14:anchorId="673E1651" wp14:editId="53EB096D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6C26"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 xml:space="preserve">                                              </w:t>
      </w:r>
    </w:p>
    <w:p w14:paraId="28A78AB9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  <w:t>РОГАТИНСЬКА МІСЬКА РАДА</w:t>
      </w:r>
    </w:p>
    <w:p w14:paraId="3E81A4B6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  <w:t>ІВАНО-ФРАНКІВСЬКОЇ ОБЛАСТІ</w:t>
      </w:r>
    </w:p>
    <w:p w14:paraId="0E98BB3A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375082EB" wp14:editId="26BB3841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A5384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14536322" w14:textId="77777777" w:rsidR="00496C26" w:rsidRPr="004C4D67" w:rsidRDefault="00496C26" w:rsidP="00496C26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РІШЕННЯ</w:t>
      </w:r>
    </w:p>
    <w:p w14:paraId="5E0ED8A1" w14:textId="77777777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7A998B0D" w14:textId="1CE3386C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18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грудня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2025 р.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8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6F786782" w14:textId="77777777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927D4BE" w14:textId="77777777" w:rsidR="00496C26" w:rsidRPr="004C4D67" w:rsidRDefault="00496C26" w:rsidP="00496C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8197A3B" w14:textId="77777777" w:rsidR="00496C26" w:rsidRPr="008A5936" w:rsidRDefault="00496C26" w:rsidP="00496C2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bookmarkStart w:id="1" w:name="_Hlk209173279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внесення змін до Програми </w:t>
      </w:r>
    </w:p>
    <w:p w14:paraId="5472F0FD" w14:textId="77777777" w:rsidR="00496C26" w:rsidRPr="008A5936" w:rsidRDefault="00496C26" w:rsidP="00496C2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розвитку місцевого самоврядування </w:t>
      </w:r>
    </w:p>
    <w:p w14:paraId="589405A8" w14:textId="77777777" w:rsidR="00496C26" w:rsidRPr="008A5936" w:rsidRDefault="00496C26" w:rsidP="00496C2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в Рогатинській міській територіальній </w:t>
      </w:r>
    </w:p>
    <w:p w14:paraId="41A9DF83" w14:textId="77777777" w:rsidR="00496C26" w:rsidRPr="00EF375E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громаді на 2023-2025 роки</w:t>
      </w:r>
    </w:p>
    <w:bookmarkEnd w:id="0"/>
    <w:bookmarkEnd w:id="1"/>
    <w:p w14:paraId="2CF08A7E" w14:textId="77777777" w:rsidR="00496C26" w:rsidRPr="004C4D67" w:rsidRDefault="00496C26" w:rsidP="00496C26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  <w:r w:rsidRPr="00BF629B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22FDDED0" w14:textId="77777777" w:rsidR="00496C26" w:rsidRPr="008A5936" w:rsidRDefault="00496C26" w:rsidP="00496C2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00599FA4" w14:textId="3444673A" w:rsidR="00496C26" w:rsidRPr="00305085" w:rsidRDefault="00496C26" w:rsidP="00496C26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num" w:pos="1701"/>
        </w:tabs>
        <w:spacing w:after="0" w:line="240" w:lineRule="auto"/>
        <w:ind w:left="0" w:right="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 розвитку місцевого самоврядування в Рогатинській міській територіальній громаді на 2023-2025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32 сесії міської ради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грудня 2022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таблицю «</w:t>
      </w:r>
      <w:r w:rsidRPr="00496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5.Перелік заходів та обсяги фінансування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 2025 рік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094E1466" w14:textId="4DCFB95A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1.2.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96C26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Підтримка розвитку громадянського суспільства (діяльність неурядових громадських організацій,   релігійних громад і творчих колективів) та організація відпочинку учнів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165,0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тис.грн. 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292E0761" w14:textId="432A6E21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пункті 1.11. «</w:t>
      </w:r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планшетів, обслуговування та адміністрування програмного забезпечення,система онлайн-відео трансляцій та відеозапису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75342559" w14:textId="035E0F16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пункті 3.1. «</w:t>
      </w:r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 міжнародних, всеукраїнських  та регіональних конкурсах проектах та програм розвитку місцевого самоврядування, інформаційно-консультативні послуги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213,0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14AF9995" w14:textId="6E583E6E" w:rsidR="00496C26" w:rsidRPr="00496C26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пункті 4.2. «</w:t>
      </w:r>
      <w:r w:rsidRPr="00496C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Винагороди  та премії міського голови з нагоди професійних та державних свят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385,0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323,5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тис.грн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.;</w:t>
      </w:r>
    </w:p>
    <w:p w14:paraId="13713AEA" w14:textId="2EE1419B" w:rsidR="00496C26" w:rsidRPr="00FB75F4" w:rsidRDefault="00496C26" w:rsidP="00496C26">
      <w:pPr>
        <w:pStyle w:val="a3"/>
        <w:numPr>
          <w:ilvl w:val="1"/>
          <w:numId w:val="1"/>
        </w:numPr>
        <w:tabs>
          <w:tab w:val="clear" w:pos="720"/>
          <w:tab w:val="num" w:pos="567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7 «Орієнтовний загальний обсяг фінансових ресурсів,  необхідних для реалізації програми, всього, у тому числі» Паспорту Програми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2284,87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тис.грн., передбачену на виконання заходів програми у 2025 році, замінити сумою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1753,37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тис.грн.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загальний обсяг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ресурсів, необхідних для реалізації заходів Програми, в сумі 6434,87 тис.грн.</w:t>
      </w:r>
    </w:p>
    <w:p w14:paraId="79EDEB27" w14:textId="77777777" w:rsidR="00496C26" w:rsidRPr="000C36D0" w:rsidRDefault="00496C26" w:rsidP="00496C26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63250D" w14:textId="77777777" w:rsidR="00496C26" w:rsidRDefault="00496C26" w:rsidP="00496C26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719138EA" w14:textId="77777777" w:rsidR="00496C26" w:rsidRDefault="00496C26" w:rsidP="00496C26"/>
    <w:p w14:paraId="26683F4D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26"/>
    <w:rsid w:val="000055B1"/>
    <w:rsid w:val="00312143"/>
    <w:rsid w:val="00496C26"/>
    <w:rsid w:val="00516DDF"/>
    <w:rsid w:val="005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AC6B"/>
  <w15:chartTrackingRefBased/>
  <w15:docId w15:val="{827B821C-BE94-413B-95A3-E490CAB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dcterms:created xsi:type="dcterms:W3CDTF">2025-12-11T14:05:00Z</dcterms:created>
  <dcterms:modified xsi:type="dcterms:W3CDTF">2025-12-15T06:57:00Z</dcterms:modified>
</cp:coreProperties>
</file>