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850F66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</w:pPr>
      <w:r w:rsidRPr="00850F66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850F66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proofErr w:type="spellStart"/>
      <w:r w:rsidRPr="00850F6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 w:rsidRPr="00850F6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850F66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374333" w14:textId="77777777" w:rsidR="001F3FD4" w:rsidRPr="00850F66" w:rsidRDefault="002E1CAA" w:rsidP="002D28D9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50F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1F3FD4" w:rsidRPr="00850F66">
        <w:rPr>
          <w:rFonts w:ascii="Times New Roman" w:eastAsia="Times New Roman CYR" w:hAnsi="Times New Roman" w:cs="Times New Roman"/>
          <w:b/>
          <w:bCs/>
          <w:i/>
          <w:sz w:val="24"/>
          <w:szCs w:val="24"/>
          <w:lang w:eastAsia="ru-RU" w:bidi="ru-RU"/>
        </w:rPr>
        <w:t xml:space="preserve">Послуга з </w:t>
      </w:r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виготовлення технічної документації з нормативної грошової оцінки земельних ділянок в межах частини території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</w:rPr>
        <w:t>Рогатинської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міської  територіальної  громади Івано-Франківського району Івано-Франківської області, а саме</w:t>
      </w:r>
      <w:r w:rsidR="001F3FD4" w:rsidRPr="00850F6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с.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Бойки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с.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Світанок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с.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Стефанівка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с.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Вигода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с.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Нижня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Липиця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с.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Верхня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Липиця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с.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Гоноратівка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с.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Городиська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с.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Зеленів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с.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Лопушня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с.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Малинівка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с.Чесники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с. </w:t>
      </w:r>
      <w:proofErr w:type="spell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Жовчів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с. </w:t>
      </w:r>
      <w:proofErr w:type="spellStart"/>
      <w:proofErr w:type="gramStart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Уїзд</w:t>
      </w:r>
      <w:proofErr w:type="spellEnd"/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.</w:t>
      </w:r>
      <w:r w:rsidR="001F3FD4" w:rsidRPr="00850F66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gramEnd"/>
    </w:p>
    <w:p w14:paraId="7576EDBC" w14:textId="482DBA6A" w:rsidR="001F3FD4" w:rsidRPr="00850F66" w:rsidRDefault="001F3FD4" w:rsidP="00850F66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50F66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код ДК 021:2015 71340000-3 « Комплексні інженерні послуги»</w:t>
      </w:r>
    </w:p>
    <w:p w14:paraId="3604676F" w14:textId="46D72EDD" w:rsidR="00836DDD" w:rsidRPr="00850F66" w:rsidRDefault="002C40EF" w:rsidP="00850F66">
      <w:pPr>
        <w:pStyle w:val="a6"/>
        <w:spacing w:line="240" w:lineRule="auto"/>
        <w:rPr>
          <w:sz w:val="24"/>
          <w:szCs w:val="24"/>
          <w:lang w:val="en-US" w:eastAsia="ru-RU"/>
        </w:rPr>
      </w:pPr>
      <w:r w:rsidRPr="00850F66">
        <w:rPr>
          <w:b/>
          <w:sz w:val="24"/>
          <w:szCs w:val="24"/>
        </w:rPr>
        <w:t>Мета проведення закупівлі</w:t>
      </w:r>
      <w:r w:rsidRPr="00850F66">
        <w:rPr>
          <w:sz w:val="24"/>
          <w:szCs w:val="24"/>
        </w:rPr>
        <w:t xml:space="preserve">: </w:t>
      </w:r>
      <w:r w:rsidR="003F22D2" w:rsidRPr="00850F66">
        <w:rPr>
          <w:sz w:val="24"/>
          <w:szCs w:val="24"/>
          <w:lang w:eastAsia="ru-RU"/>
        </w:rPr>
        <w:t xml:space="preserve">Обґрунтування необхідності закупівлі даного виду </w:t>
      </w:r>
      <w:r w:rsidR="00836DDD" w:rsidRPr="00850F66">
        <w:rPr>
          <w:sz w:val="24"/>
          <w:szCs w:val="24"/>
          <w:lang w:eastAsia="ru-RU"/>
        </w:rPr>
        <w:t xml:space="preserve">послуг </w:t>
      </w:r>
      <w:r w:rsidR="003F22D2" w:rsidRPr="00850F66">
        <w:rPr>
          <w:sz w:val="24"/>
          <w:szCs w:val="24"/>
          <w:lang w:eastAsia="ru-RU"/>
        </w:rPr>
        <w:t xml:space="preserve"> - замовник здійснює закупівлю даного виду </w:t>
      </w:r>
      <w:r w:rsidR="00836DDD" w:rsidRPr="00850F66">
        <w:rPr>
          <w:sz w:val="24"/>
          <w:szCs w:val="24"/>
          <w:lang w:eastAsia="ru-RU"/>
        </w:rPr>
        <w:t xml:space="preserve">згідно </w:t>
      </w:r>
      <w:r w:rsidR="00836DDD" w:rsidRPr="00850F66">
        <w:rPr>
          <w:bCs/>
          <w:sz w:val="24"/>
          <w:szCs w:val="24"/>
          <w:lang w:eastAsia="ru-RU"/>
        </w:rPr>
        <w:t>-</w:t>
      </w:r>
      <w:r w:rsidR="00836DDD" w:rsidRPr="00850F66">
        <w:rPr>
          <w:sz w:val="24"/>
          <w:szCs w:val="24"/>
          <w:lang w:eastAsia="ru-RU"/>
        </w:rPr>
        <w:t xml:space="preserve"> </w:t>
      </w:r>
      <w:r w:rsidR="002D28D9" w:rsidRPr="00850F66">
        <w:rPr>
          <w:sz w:val="24"/>
          <w:szCs w:val="24"/>
          <w:lang w:eastAsia="ru-RU"/>
        </w:rPr>
        <w:t xml:space="preserve">Рішення 63 сесії 8 скликання </w:t>
      </w:r>
      <w:proofErr w:type="spellStart"/>
      <w:r w:rsidR="002D28D9" w:rsidRPr="00850F66">
        <w:rPr>
          <w:sz w:val="24"/>
          <w:szCs w:val="24"/>
          <w:lang w:eastAsia="ru-RU"/>
        </w:rPr>
        <w:t>Рогатинської</w:t>
      </w:r>
      <w:proofErr w:type="spellEnd"/>
      <w:r w:rsidR="002D28D9" w:rsidRPr="00850F66">
        <w:rPr>
          <w:sz w:val="24"/>
          <w:szCs w:val="24"/>
          <w:lang w:eastAsia="ru-RU"/>
        </w:rPr>
        <w:t xml:space="preserve"> міської ради від 31.07.2025 № 12195 </w:t>
      </w:r>
    </w:p>
    <w:p w14:paraId="012F2FB8" w14:textId="58BA2167" w:rsidR="002E1CAA" w:rsidRPr="00850F66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50F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 w:rsidRPr="00850F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 w:rsidRPr="00850F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 урахуванням Постанови Кабінету Міністрів України « Про затвердження особливостей здійснення публічних </w:t>
      </w:r>
      <w:proofErr w:type="spellStart"/>
      <w:r w:rsidR="002B37B3" w:rsidRPr="00850F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="002B37B3" w:rsidRPr="00850F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 w:rsidRPr="00850F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№1178.</w:t>
      </w:r>
    </w:p>
    <w:p w14:paraId="77A05F5B" w14:textId="5DC55676" w:rsidR="00E61E5A" w:rsidRPr="00850F66" w:rsidRDefault="00927040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50F66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Ідентифікатор закупівлі:</w:t>
      </w:r>
      <w:r w:rsidR="00E61E5A" w:rsidRPr="00850F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843606" w:rsidRPr="00850F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UA-2025-10-22-014598-a</w:t>
      </w:r>
    </w:p>
    <w:p w14:paraId="0A4646E4" w14:textId="77777777" w:rsidR="002F2950" w:rsidRPr="00850F66" w:rsidRDefault="002F2950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F66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51A5047" w14:textId="77777777" w:rsidR="00C23D9B" w:rsidRPr="00850F66" w:rsidRDefault="00C23D9B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0FFED8" w14:textId="4F2E9F25" w:rsidR="00AD5355" w:rsidRPr="00850F66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0F66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закупівлі:</w:t>
      </w:r>
    </w:p>
    <w:p w14:paraId="514A23A7" w14:textId="2446A0F3" w:rsidR="00AD5355" w:rsidRPr="00850F66" w:rsidRDefault="00AD5355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293" w:tblpY="1"/>
        <w:tblOverlap w:val="never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99"/>
        <w:gridCol w:w="1263"/>
        <w:gridCol w:w="5767"/>
      </w:tblGrid>
      <w:tr w:rsidR="00C72067" w:rsidRPr="00850F66" w14:paraId="1D5CFCC8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6F4D3ED5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9" w:type="dxa"/>
            <w:shd w:val="clear" w:color="auto" w:fill="auto"/>
          </w:tcPr>
          <w:p w14:paraId="01705C15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 населеного пункту</w:t>
            </w:r>
          </w:p>
        </w:tc>
        <w:tc>
          <w:tcPr>
            <w:tcW w:w="1263" w:type="dxa"/>
            <w:shd w:val="clear" w:color="auto" w:fill="auto"/>
          </w:tcPr>
          <w:p w14:paraId="4E8937EB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Площа, га</w:t>
            </w:r>
          </w:p>
        </w:tc>
        <w:tc>
          <w:tcPr>
            <w:tcW w:w="5767" w:type="dxa"/>
            <w:shd w:val="clear" w:color="auto" w:fill="auto"/>
          </w:tcPr>
          <w:p w14:paraId="0133053F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Місце розташування населеного пункту</w:t>
            </w:r>
          </w:p>
        </w:tc>
      </w:tr>
      <w:tr w:rsidR="00C72067" w:rsidRPr="00850F66" w14:paraId="6C9F5EED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135A55A8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0B94DA93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с.Бойки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6891EEA3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767" w:type="dxa"/>
            <w:shd w:val="clear" w:color="auto" w:fill="auto"/>
          </w:tcPr>
          <w:p w14:paraId="417CD25F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728B994D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390990D3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3F05C9B1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с.Світанок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5C175960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467,2</w:t>
            </w:r>
          </w:p>
        </w:tc>
        <w:tc>
          <w:tcPr>
            <w:tcW w:w="5767" w:type="dxa"/>
            <w:shd w:val="clear" w:color="auto" w:fill="auto"/>
          </w:tcPr>
          <w:p w14:paraId="06CC9C0F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5F074286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70852577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3EFB483B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с.Стефанівка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490EDEF8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767" w:type="dxa"/>
            <w:shd w:val="clear" w:color="auto" w:fill="auto"/>
          </w:tcPr>
          <w:p w14:paraId="5A8C9A45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0EDBF04F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348FF961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125ECAE5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с.Вигода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599A5FB3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5767" w:type="dxa"/>
            <w:shd w:val="clear" w:color="auto" w:fill="auto"/>
          </w:tcPr>
          <w:p w14:paraId="12562BD3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4D178C96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269EB216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3122AFFD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с.Нижня</w:t>
            </w:r>
            <w:proofErr w:type="spellEnd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Липиця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1AC64704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484,7</w:t>
            </w:r>
          </w:p>
        </w:tc>
        <w:tc>
          <w:tcPr>
            <w:tcW w:w="5767" w:type="dxa"/>
            <w:shd w:val="clear" w:color="auto" w:fill="auto"/>
          </w:tcPr>
          <w:p w14:paraId="439F3095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4E1EB14E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1B7922C6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1137B5F6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с.Верхня</w:t>
            </w:r>
            <w:proofErr w:type="spellEnd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Липиця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214C6267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5767" w:type="dxa"/>
            <w:shd w:val="clear" w:color="auto" w:fill="auto"/>
          </w:tcPr>
          <w:p w14:paraId="0A67E090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72FCD421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0A84D1A2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46AF497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с.Гоноратівка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36361C4C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5767" w:type="dxa"/>
            <w:shd w:val="clear" w:color="auto" w:fill="auto"/>
          </w:tcPr>
          <w:p w14:paraId="54E86879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78E40277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6862DE96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34021036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с.Городиська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4E34BAC9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95,54</w:t>
            </w:r>
          </w:p>
        </w:tc>
        <w:tc>
          <w:tcPr>
            <w:tcW w:w="5767" w:type="dxa"/>
            <w:shd w:val="clear" w:color="auto" w:fill="auto"/>
          </w:tcPr>
          <w:p w14:paraId="57EEA2AF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6E50590C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5E3F88D6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46717274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с.Зеленів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09409786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5767" w:type="dxa"/>
            <w:shd w:val="clear" w:color="auto" w:fill="auto"/>
          </w:tcPr>
          <w:p w14:paraId="0E0198D2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2C76F1C8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1B751A5F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76816F79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с.Лопушня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5E9E614D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5767" w:type="dxa"/>
            <w:shd w:val="clear" w:color="auto" w:fill="auto"/>
          </w:tcPr>
          <w:p w14:paraId="7D07B9FC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78C89F31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6A265B99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5C94E388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с.Малинівка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56E9C846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5767" w:type="dxa"/>
            <w:shd w:val="clear" w:color="auto" w:fill="auto"/>
          </w:tcPr>
          <w:p w14:paraId="61B50689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0A367560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43900A72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07ED83C5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с.Чесники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3DE4D390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5767" w:type="dxa"/>
            <w:shd w:val="clear" w:color="auto" w:fill="auto"/>
          </w:tcPr>
          <w:p w14:paraId="0E952198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1A4C4291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66419D58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7E3E1F05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с.Жовчів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3038EBCB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5767" w:type="dxa"/>
            <w:shd w:val="clear" w:color="auto" w:fill="auto"/>
          </w:tcPr>
          <w:p w14:paraId="12BA90A8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  <w:tr w:rsidR="00C72067" w:rsidRPr="00850F66" w14:paraId="28B22597" w14:textId="77777777" w:rsidTr="00570462">
        <w:trPr>
          <w:trHeight w:val="397"/>
        </w:trPr>
        <w:tc>
          <w:tcPr>
            <w:tcW w:w="540" w:type="dxa"/>
            <w:shd w:val="clear" w:color="auto" w:fill="auto"/>
          </w:tcPr>
          <w:p w14:paraId="7AA27DBA" w14:textId="77777777" w:rsidR="00C72067" w:rsidRPr="00850F66" w:rsidRDefault="00C72067" w:rsidP="005704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46BE4C98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с.Уїзд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14:paraId="0D8D3F29" w14:textId="77777777" w:rsidR="00C72067" w:rsidRPr="00850F66" w:rsidRDefault="00C72067" w:rsidP="00570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125,2</w:t>
            </w:r>
          </w:p>
        </w:tc>
        <w:tc>
          <w:tcPr>
            <w:tcW w:w="5767" w:type="dxa"/>
            <w:shd w:val="clear" w:color="auto" w:fill="auto"/>
          </w:tcPr>
          <w:p w14:paraId="7EBCB67F" w14:textId="77777777" w:rsidR="00C72067" w:rsidRPr="00850F66" w:rsidRDefault="00C72067" w:rsidP="0057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Україна, Івано-Франківська область, </w:t>
            </w:r>
            <w:r w:rsidRPr="00850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F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Івано-Франківський  район</w:t>
            </w:r>
          </w:p>
        </w:tc>
      </w:tr>
    </w:tbl>
    <w:p w14:paraId="2132D562" w14:textId="3630D7DC" w:rsidR="00AD5355" w:rsidRPr="00850F66" w:rsidRDefault="00AD5355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CF9D8" w14:textId="08D85666" w:rsidR="00351D28" w:rsidRPr="00850F66" w:rsidRDefault="00351D28" w:rsidP="0085474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0F6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Вихідні дані для проведення робіт:</w:t>
      </w:r>
    </w:p>
    <w:p w14:paraId="4EF9C1D6" w14:textId="7188887F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0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Відомості Державного земельного кадастру;</w:t>
      </w:r>
    </w:p>
    <w:p w14:paraId="5E8E1DEF" w14:textId="1B37BD04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0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 Топографічна основа на паперових носіях;</w:t>
      </w:r>
    </w:p>
    <w:p w14:paraId="0D1F48F2" w14:textId="73038153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0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 Перелік підприємств та організацій населених пунктів;</w:t>
      </w:r>
    </w:p>
    <w:p w14:paraId="043E2DB5" w14:textId="5C5754D8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0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 Населені пункту відносяться до Івано-Франківського району Івано-Франківської області;</w:t>
      </w:r>
    </w:p>
    <w:p w14:paraId="606C184C" w14:textId="55D29B39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0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 Дані Довідника показників нормативної грошової оцінки земель сільськогосподарського призначення в Україні.</w:t>
      </w:r>
    </w:p>
    <w:p w14:paraId="2DED0782" w14:textId="26750666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0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 Схема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агровиробничих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груп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грунтів</w:t>
      </w:r>
      <w:proofErr w:type="spellEnd"/>
      <w:r w:rsidRPr="00850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межах населених пунктів;</w:t>
      </w:r>
    </w:p>
    <w:p w14:paraId="7945CF47" w14:textId="2FE0741A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0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 Матеріали попередньої нормативної грошової оцінки земель населених пунктів.</w:t>
      </w:r>
    </w:p>
    <w:p w14:paraId="28305FDD" w14:textId="1958FB16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0F6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8 Інші документи та матеріали, необхідні для надання послуги. </w:t>
      </w:r>
    </w:p>
    <w:p w14:paraId="71F774B3" w14:textId="233EFDF2" w:rsidR="00351D28" w:rsidRPr="00850F66" w:rsidRDefault="00351D28" w:rsidP="00AA47F9">
      <w:p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0F66">
        <w:rPr>
          <w:rFonts w:ascii="Times New Roman" w:hAnsi="Times New Roman" w:cs="Times New Roman"/>
          <w:b/>
          <w:sz w:val="24"/>
          <w:szCs w:val="24"/>
          <w:lang w:eastAsia="ru-RU"/>
        </w:rPr>
        <w:t>Нормативно-правова база з виконання послуг</w:t>
      </w:r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3D44F61B" w14:textId="1CA60885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50F66">
        <w:rPr>
          <w:rFonts w:ascii="Times New Roman" w:hAnsi="Times New Roman" w:cs="Times New Roman"/>
          <w:sz w:val="24"/>
          <w:szCs w:val="24"/>
          <w:lang w:eastAsia="ru-RU"/>
        </w:rPr>
        <w:t>1.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Технічна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документація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з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нормативної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грошової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оцінки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земельних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ділянок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межах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частини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території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має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бути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розроблена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відповідно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норм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Земельного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кодексу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України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Законів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України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Про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оцінку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»,  «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Про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землеустрій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», «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Про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Державний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земельний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кадастр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», «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Методики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нормативної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грошової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оцінки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земельних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ділянок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», 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затвердженої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постановою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Кабінету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Міністрів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України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від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03.11.2021 № 1147</w:t>
      </w:r>
    </w:p>
    <w:p w14:paraId="41D474B6" w14:textId="1D553E17" w:rsidR="00351D28" w:rsidRPr="00850F66" w:rsidRDefault="00351D28" w:rsidP="00850F66">
      <w:p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Документи</w:t>
      </w:r>
      <w:proofErr w:type="spellEnd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і </w:t>
      </w:r>
      <w:proofErr w:type="spellStart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матеріали</w:t>
      </w:r>
      <w:proofErr w:type="spellEnd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proofErr w:type="spellStart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що</w:t>
      </w:r>
      <w:proofErr w:type="spellEnd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повинні</w:t>
      </w:r>
      <w:proofErr w:type="spellEnd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бути</w:t>
      </w:r>
      <w:proofErr w:type="spellEnd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представлені</w:t>
      </w:r>
      <w:proofErr w:type="spellEnd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за</w:t>
      </w:r>
      <w:proofErr w:type="spellEnd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результатами</w:t>
      </w:r>
      <w:proofErr w:type="spellEnd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наданих</w:t>
      </w:r>
      <w:proofErr w:type="spellEnd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послуг</w:t>
      </w:r>
      <w:proofErr w:type="spellEnd"/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0E8E4456" w14:textId="142007AA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50F66">
        <w:rPr>
          <w:rFonts w:ascii="Times New Roman" w:hAnsi="Times New Roman" w:cs="Times New Roman"/>
          <w:sz w:val="24"/>
          <w:szCs w:val="24"/>
          <w:lang w:eastAsia="ru-RU"/>
        </w:rPr>
        <w:t>1.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Технічн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документаці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50F66">
        <w:rPr>
          <w:rFonts w:ascii="Times New Roman" w:hAnsi="Times New Roman" w:cs="Times New Roman"/>
          <w:sz w:val="24"/>
          <w:szCs w:val="24"/>
          <w:lang w:eastAsia="ru-RU"/>
        </w:rPr>
        <w:t xml:space="preserve">з нормативної грошової оцінки земельних ділянок в межах частини території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Рогатинської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міської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територіальної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громади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Івано-Франківського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району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Івано-Франківської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області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а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саме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Бойки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Світанок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Стефанівка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Вигода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Нижня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Липиця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 xml:space="preserve">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Верхня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Липиця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Гоноратівка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Городиська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Зеленів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Лопушня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Малинівка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с.Чесники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Жовчів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proofErr w:type="gram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Уїзд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50F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виготовляється</w:t>
      </w:r>
      <w:proofErr w:type="spellEnd"/>
      <w:proofErr w:type="gram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паперових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носіях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який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передається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Замовнику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електронний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документ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- у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Державний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фонд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документації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із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землеустрою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керуючись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ст.20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Закону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України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Про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оцінку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»)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та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Виконавцю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робіт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02E04A7F" w14:textId="4FDB517C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Графічні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матеріали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надаються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паперових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один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примірник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– у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Державний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фонд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документації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із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землеустрою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керуючись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ст.20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Закону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України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Про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оцінку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»)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та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магнітних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носіях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7196A6E7" w14:textId="2B5AF73E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Електронний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документ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обмінний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файл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у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форматі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.xml).</w:t>
      </w:r>
    </w:p>
    <w:p w14:paraId="3B8DD1AC" w14:textId="376D02A6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4.Формати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представлення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графічних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матеріалів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електронному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вигляді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векторний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(dwg,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dmf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растровий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(jpg).</w:t>
      </w:r>
    </w:p>
    <w:p w14:paraId="1A1428FB" w14:textId="16C7EE8A" w:rsidR="00351D28" w:rsidRPr="00850F66" w:rsidRDefault="00351D28" w:rsidP="004A092A">
      <w:p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0F66">
        <w:rPr>
          <w:rFonts w:ascii="Times New Roman" w:hAnsi="Times New Roman" w:cs="Times New Roman"/>
          <w:b/>
          <w:sz w:val="24"/>
          <w:szCs w:val="24"/>
          <w:lang w:eastAsia="ru-RU"/>
        </w:rPr>
        <w:t>Додаткові умови</w:t>
      </w:r>
      <w:r w:rsidRPr="00850F66">
        <w:rPr>
          <w:rFonts w:ascii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1274DEF5" w14:textId="7920FB70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Збір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вихідних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даних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для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розробки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технічн</w:t>
      </w:r>
      <w:r w:rsidRPr="00850F66">
        <w:rPr>
          <w:rFonts w:ascii="Times New Roman" w:hAnsi="Times New Roman" w:cs="Times New Roman"/>
          <w:sz w:val="24"/>
          <w:szCs w:val="24"/>
          <w:lang w:eastAsia="ru-RU"/>
        </w:rPr>
        <w:t>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документаці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eastAsia="ru-RU"/>
        </w:rPr>
        <w:t>ї</w:t>
      </w: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з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нормативної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грошової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оцінки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eastAsia="ru-RU"/>
        </w:rPr>
        <w:t>них ділянок в межах частини території</w:t>
      </w: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Рогатинської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міської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територіальної</w:t>
      </w:r>
      <w:proofErr w:type="spellEnd"/>
      <w:proofErr w:type="gram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громади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Івано-Франківського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району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Івано-Франківської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області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а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саме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Бойки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Світанок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Стефанівка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Вигода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Нижня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Липиця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Верхня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Липиця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Гоноратівка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Городиська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Зеленів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Лопушня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Малинівка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с.Чесники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Жовчів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Уїзд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289A1234" w14:textId="18272B8C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Надавач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послуг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забезпечує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внесення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відомостей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про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нормативну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грошову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оцінку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Державного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земельного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кадастру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результатом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чого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є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отримання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витягів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з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Державного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земельного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кадастру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про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землі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межах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території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адміністративно-територіальних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одиниць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(з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відомостями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про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нормативну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грошову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оцінку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населеного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пункту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підтвердження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внесення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відомостей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Державного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земельного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кадастру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39B92D62" w14:textId="7055AF20" w:rsidR="00351D28" w:rsidRPr="00850F66" w:rsidRDefault="00351D28" w:rsidP="00351D28">
      <w:p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3.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Технічн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документаці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з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нормативної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грошової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оцінки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земель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eastAsia="ru-RU"/>
        </w:rPr>
        <w:t>них ділянок в межах частини території</w:t>
      </w: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підлягають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затвердженню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eastAsia="ru-RU"/>
        </w:rPr>
        <w:t>Рогатинською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міською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радою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Івано-Франківського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району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Івано-Франківської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області</w:t>
      </w:r>
      <w:proofErr w:type="spellEnd"/>
    </w:p>
    <w:p w14:paraId="1E1CC6D3" w14:textId="6A3BBA11" w:rsidR="00A037F7" w:rsidRPr="00850F66" w:rsidRDefault="00351D28" w:rsidP="00A037F7">
      <w:p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4. У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разі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внесення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змін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законодавчих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та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нормативно-правових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актів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Виконавець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зобов'язаний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привести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весь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комплект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документації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у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відповідність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до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внесених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змін</w:t>
      </w:r>
      <w:proofErr w:type="spellEnd"/>
      <w:r w:rsidRPr="00850F66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41831801" w14:textId="1900635E" w:rsidR="00F00112" w:rsidRPr="00850F66" w:rsidRDefault="00A037F7" w:rsidP="004A1EE4">
      <w:pPr>
        <w:rPr>
          <w:rFonts w:ascii="Times New Roman" w:hAnsi="Times New Roman" w:cs="Times New Roman"/>
          <w:b/>
          <w:sz w:val="24"/>
          <w:szCs w:val="24"/>
        </w:rPr>
      </w:pPr>
      <w:r w:rsidRPr="00850F66">
        <w:rPr>
          <w:rFonts w:ascii="Times New Roman" w:hAnsi="Times New Roman" w:cs="Times New Roman"/>
          <w:b/>
          <w:sz w:val="24"/>
          <w:szCs w:val="24"/>
        </w:rPr>
        <w:t xml:space="preserve">Термін надання послуг: </w:t>
      </w:r>
      <w:r w:rsidRPr="00850F66">
        <w:rPr>
          <w:rFonts w:ascii="Times New Roman" w:hAnsi="Times New Roman" w:cs="Times New Roman"/>
          <w:sz w:val="24"/>
          <w:szCs w:val="24"/>
        </w:rPr>
        <w:t xml:space="preserve">до 15.12.2025 року.    </w:t>
      </w:r>
    </w:p>
    <w:p w14:paraId="416AE44D" w14:textId="1C81FAE6" w:rsidR="00E250C3" w:rsidRPr="00850F66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95386"/>
      <w:r w:rsidRPr="00850F66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 w:rsidRPr="00850F66">
        <w:rPr>
          <w:rFonts w:ascii="Times New Roman" w:hAnsi="Times New Roman" w:cs="Times New Roman"/>
          <w:sz w:val="24"/>
          <w:szCs w:val="24"/>
        </w:rPr>
        <w:t>:</w:t>
      </w:r>
    </w:p>
    <w:p w14:paraId="714FE138" w14:textId="65C5F5B0" w:rsidR="008177FC" w:rsidRPr="00850F66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</w:pPr>
      <w:r w:rsidRPr="00850F66">
        <w:t xml:space="preserve">Очікувана вартість закупівлі – </w:t>
      </w:r>
      <w:r w:rsidR="00850F66" w:rsidRPr="00850F66">
        <w:rPr>
          <w:lang w:val="en-US"/>
        </w:rPr>
        <w:t>185</w:t>
      </w:r>
      <w:r w:rsidR="00606FC9" w:rsidRPr="00850F66">
        <w:rPr>
          <w:lang w:val="ru-RU"/>
        </w:rPr>
        <w:t xml:space="preserve"> 000</w:t>
      </w:r>
      <w:r w:rsidRPr="00850F66">
        <w:t xml:space="preserve"> грн. з ПДВ.</w:t>
      </w:r>
      <w:r w:rsidR="008177FC" w:rsidRPr="00850F66">
        <w:t xml:space="preserve">    </w:t>
      </w:r>
    </w:p>
    <w:p w14:paraId="4BDACEAD" w14:textId="1E2A51EA" w:rsidR="00101571" w:rsidRPr="00850F66" w:rsidRDefault="00A20928" w:rsidP="0088361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50F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Розрахунок очікуваної вартості послуги з виготовлення технічної документації здійснювався методом порівняння ринкових/договірних  цін,</w:t>
      </w:r>
      <w:r w:rsidR="00883619" w:rsidRPr="00850F66">
        <w:rPr>
          <w:rFonts w:ascii="Times New Roman" w:hAnsi="Times New Roman" w:cs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850F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а саме: проведено моніторинг </w:t>
      </w:r>
      <w:proofErr w:type="spellStart"/>
      <w:r w:rsidRPr="00850F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850F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послуги з виготовлення технічної документації з нормативно-грошової оцінки земель  у системі </w:t>
      </w:r>
      <w:proofErr w:type="spellStart"/>
      <w:r w:rsidRPr="00850F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Прозорро</w:t>
      </w:r>
      <w:proofErr w:type="spellEnd"/>
      <w:r w:rsidRPr="00850F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</w:t>
      </w:r>
      <w:r w:rsidR="00883619" w:rsidRPr="00850F66">
        <w:rPr>
          <w:rFonts w:ascii="Times New Roman" w:eastAsia="Times New Roman" w:hAnsi="Times New Roman" w:cs="Times New Roman"/>
          <w:color w:val="424242"/>
          <w:sz w:val="24"/>
          <w:szCs w:val="24"/>
          <w:lang w:eastAsia="uk-UA"/>
        </w:rPr>
        <w:t xml:space="preserve"> </w:t>
      </w:r>
      <w:r w:rsidR="00883619" w:rsidRPr="00850F66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Очікувана вартість предмету закупівлі визначена методом порівняння ринкових цін  завершених процедур аналогічних відкритих торгів з особливостями по Україні.</w:t>
      </w:r>
    </w:p>
    <w:p w14:paraId="49A1FDD9" w14:textId="77777777" w:rsidR="001065F5" w:rsidRPr="00850F66" w:rsidRDefault="00C30526" w:rsidP="00883619">
      <w:pPr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850F66">
        <w:rPr>
          <w:rFonts w:ascii="Times New Roman" w:hAnsi="Times New Roman" w:cs="Times New Roman"/>
          <w:sz w:val="24"/>
          <w:szCs w:val="24"/>
        </w:rPr>
        <w:t xml:space="preserve">Закупівля здійснюється в межах </w:t>
      </w:r>
      <w:r w:rsidR="001065F5" w:rsidRPr="00850F66">
        <w:rPr>
          <w:rFonts w:ascii="Times New Roman" w:hAnsi="Times New Roman" w:cs="Times New Roman"/>
          <w:sz w:val="24"/>
          <w:szCs w:val="24"/>
          <w:shd w:val="clear" w:color="auto" w:fill="FFFFFF"/>
        </w:rPr>
        <w:t>ТПКВКМБ: 7130 – Здійснення заходів із землеустрою</w:t>
      </w:r>
    </w:p>
    <w:p w14:paraId="0B532E85" w14:textId="6DAE0FD3" w:rsidR="00686F2B" w:rsidRPr="00850F66" w:rsidRDefault="00686F2B" w:rsidP="00883619">
      <w:pPr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850F66">
        <w:rPr>
          <w:rFonts w:ascii="Times New Roman" w:eastAsia="Times New Roman" w:hAnsi="Times New Roman" w:cs="Times New Roman"/>
          <w:sz w:val="24"/>
          <w:szCs w:val="24"/>
          <w:lang w:eastAsia="uk-UA"/>
        </w:rPr>
        <w:t>КЕКВ: 2281 — Дослідження і розробки, окремі заходи розвитку по реалізації державних (регіональних) програм</w:t>
      </w:r>
      <w:bookmarkEnd w:id="0"/>
    </w:p>
    <w:sectPr w:rsidR="00686F2B" w:rsidRPr="00850F66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AA"/>
    <w:rsid w:val="00004E08"/>
    <w:rsid w:val="00016DD1"/>
    <w:rsid w:val="00042531"/>
    <w:rsid w:val="00054C9E"/>
    <w:rsid w:val="00063D21"/>
    <w:rsid w:val="00076858"/>
    <w:rsid w:val="00091DBE"/>
    <w:rsid w:val="000A372C"/>
    <w:rsid w:val="000A525F"/>
    <w:rsid w:val="000B0DCA"/>
    <w:rsid w:val="000C2B69"/>
    <w:rsid w:val="000C7C6B"/>
    <w:rsid w:val="000D0ABB"/>
    <w:rsid w:val="000F79A2"/>
    <w:rsid w:val="00101571"/>
    <w:rsid w:val="001065F5"/>
    <w:rsid w:val="001202EE"/>
    <w:rsid w:val="00154C86"/>
    <w:rsid w:val="00164FFF"/>
    <w:rsid w:val="00186B70"/>
    <w:rsid w:val="00186D2A"/>
    <w:rsid w:val="0019392B"/>
    <w:rsid w:val="001C06F3"/>
    <w:rsid w:val="001D5AF0"/>
    <w:rsid w:val="001E044A"/>
    <w:rsid w:val="001E0A84"/>
    <w:rsid w:val="001E1C65"/>
    <w:rsid w:val="001E66B3"/>
    <w:rsid w:val="001F3FD4"/>
    <w:rsid w:val="0020485D"/>
    <w:rsid w:val="002170C8"/>
    <w:rsid w:val="00227407"/>
    <w:rsid w:val="00232258"/>
    <w:rsid w:val="00235635"/>
    <w:rsid w:val="002433B4"/>
    <w:rsid w:val="002451D5"/>
    <w:rsid w:val="00250CA1"/>
    <w:rsid w:val="0026174C"/>
    <w:rsid w:val="00296124"/>
    <w:rsid w:val="00297596"/>
    <w:rsid w:val="002B37B3"/>
    <w:rsid w:val="002B44E8"/>
    <w:rsid w:val="002B763F"/>
    <w:rsid w:val="002C40EF"/>
    <w:rsid w:val="002C6301"/>
    <w:rsid w:val="002D28D9"/>
    <w:rsid w:val="002E1CAA"/>
    <w:rsid w:val="002E63C0"/>
    <w:rsid w:val="002F2950"/>
    <w:rsid w:val="0030497B"/>
    <w:rsid w:val="00320529"/>
    <w:rsid w:val="00323736"/>
    <w:rsid w:val="00351D28"/>
    <w:rsid w:val="00356F5A"/>
    <w:rsid w:val="00366DF6"/>
    <w:rsid w:val="00373AAD"/>
    <w:rsid w:val="00382001"/>
    <w:rsid w:val="00383F0E"/>
    <w:rsid w:val="003C1A32"/>
    <w:rsid w:val="003C3269"/>
    <w:rsid w:val="003C5D72"/>
    <w:rsid w:val="003C60FB"/>
    <w:rsid w:val="003D18A2"/>
    <w:rsid w:val="003D4681"/>
    <w:rsid w:val="003E1346"/>
    <w:rsid w:val="003F22D2"/>
    <w:rsid w:val="003F55DB"/>
    <w:rsid w:val="00401462"/>
    <w:rsid w:val="004311DF"/>
    <w:rsid w:val="00454BB5"/>
    <w:rsid w:val="00462623"/>
    <w:rsid w:val="00464283"/>
    <w:rsid w:val="00465E5B"/>
    <w:rsid w:val="00466C9B"/>
    <w:rsid w:val="00476DA0"/>
    <w:rsid w:val="00485A5B"/>
    <w:rsid w:val="0048748B"/>
    <w:rsid w:val="004A092A"/>
    <w:rsid w:val="004A1EE4"/>
    <w:rsid w:val="004E3220"/>
    <w:rsid w:val="004F0303"/>
    <w:rsid w:val="004F6CFC"/>
    <w:rsid w:val="0056768D"/>
    <w:rsid w:val="0058403E"/>
    <w:rsid w:val="00584317"/>
    <w:rsid w:val="005A3FEE"/>
    <w:rsid w:val="005A73A6"/>
    <w:rsid w:val="005C0A25"/>
    <w:rsid w:val="005F6DBA"/>
    <w:rsid w:val="00606FC9"/>
    <w:rsid w:val="006142EA"/>
    <w:rsid w:val="00633050"/>
    <w:rsid w:val="00634E15"/>
    <w:rsid w:val="00640DFB"/>
    <w:rsid w:val="00644AB0"/>
    <w:rsid w:val="0065380B"/>
    <w:rsid w:val="00684265"/>
    <w:rsid w:val="00686F2B"/>
    <w:rsid w:val="00695537"/>
    <w:rsid w:val="0069653E"/>
    <w:rsid w:val="006B47F8"/>
    <w:rsid w:val="006B50F2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177FC"/>
    <w:rsid w:val="00830B53"/>
    <w:rsid w:val="00835B0E"/>
    <w:rsid w:val="00836DDD"/>
    <w:rsid w:val="00843606"/>
    <w:rsid w:val="00850F66"/>
    <w:rsid w:val="0085474A"/>
    <w:rsid w:val="00873D84"/>
    <w:rsid w:val="00876BFF"/>
    <w:rsid w:val="00883619"/>
    <w:rsid w:val="0089210E"/>
    <w:rsid w:val="00892EAA"/>
    <w:rsid w:val="008A0A22"/>
    <w:rsid w:val="008B3694"/>
    <w:rsid w:val="008F74F4"/>
    <w:rsid w:val="008F76BC"/>
    <w:rsid w:val="008F783A"/>
    <w:rsid w:val="00903ECC"/>
    <w:rsid w:val="00913E65"/>
    <w:rsid w:val="009144F2"/>
    <w:rsid w:val="00927040"/>
    <w:rsid w:val="00937063"/>
    <w:rsid w:val="009413C6"/>
    <w:rsid w:val="0097668A"/>
    <w:rsid w:val="00981D20"/>
    <w:rsid w:val="009C06FB"/>
    <w:rsid w:val="009C4AC5"/>
    <w:rsid w:val="00A037F7"/>
    <w:rsid w:val="00A137EF"/>
    <w:rsid w:val="00A20928"/>
    <w:rsid w:val="00A243FB"/>
    <w:rsid w:val="00A30001"/>
    <w:rsid w:val="00A41C41"/>
    <w:rsid w:val="00A50D79"/>
    <w:rsid w:val="00A85059"/>
    <w:rsid w:val="00AA47F9"/>
    <w:rsid w:val="00AB5FB8"/>
    <w:rsid w:val="00AB71AC"/>
    <w:rsid w:val="00AC2719"/>
    <w:rsid w:val="00AC480C"/>
    <w:rsid w:val="00AD5355"/>
    <w:rsid w:val="00B03C4B"/>
    <w:rsid w:val="00B41614"/>
    <w:rsid w:val="00B455CB"/>
    <w:rsid w:val="00B468AC"/>
    <w:rsid w:val="00B666AC"/>
    <w:rsid w:val="00B96ADA"/>
    <w:rsid w:val="00BA078C"/>
    <w:rsid w:val="00BE7C17"/>
    <w:rsid w:val="00C1070C"/>
    <w:rsid w:val="00C112D7"/>
    <w:rsid w:val="00C23D9B"/>
    <w:rsid w:val="00C30526"/>
    <w:rsid w:val="00C43467"/>
    <w:rsid w:val="00C44820"/>
    <w:rsid w:val="00C60E71"/>
    <w:rsid w:val="00C72067"/>
    <w:rsid w:val="00C84F14"/>
    <w:rsid w:val="00C8707F"/>
    <w:rsid w:val="00C9405E"/>
    <w:rsid w:val="00CB5CA2"/>
    <w:rsid w:val="00CD227B"/>
    <w:rsid w:val="00CD3388"/>
    <w:rsid w:val="00CD659B"/>
    <w:rsid w:val="00CF0868"/>
    <w:rsid w:val="00CF6775"/>
    <w:rsid w:val="00CF7B1D"/>
    <w:rsid w:val="00D131A9"/>
    <w:rsid w:val="00D1601C"/>
    <w:rsid w:val="00D94534"/>
    <w:rsid w:val="00D96EBE"/>
    <w:rsid w:val="00DE37D4"/>
    <w:rsid w:val="00E06793"/>
    <w:rsid w:val="00E250C3"/>
    <w:rsid w:val="00E26E85"/>
    <w:rsid w:val="00E5455B"/>
    <w:rsid w:val="00E61E5A"/>
    <w:rsid w:val="00E867B8"/>
    <w:rsid w:val="00E9082B"/>
    <w:rsid w:val="00E908B4"/>
    <w:rsid w:val="00E91A8C"/>
    <w:rsid w:val="00EC67AA"/>
    <w:rsid w:val="00ED31DB"/>
    <w:rsid w:val="00EE78C6"/>
    <w:rsid w:val="00EF0277"/>
    <w:rsid w:val="00F00112"/>
    <w:rsid w:val="00F1747B"/>
    <w:rsid w:val="00F32F3B"/>
    <w:rsid w:val="00F417C9"/>
    <w:rsid w:val="00F50EF1"/>
    <w:rsid w:val="00F75D43"/>
    <w:rsid w:val="00F80722"/>
    <w:rsid w:val="00F81D75"/>
    <w:rsid w:val="00F83E2E"/>
    <w:rsid w:val="00F845E8"/>
    <w:rsid w:val="00F856D3"/>
    <w:rsid w:val="00FB00E8"/>
    <w:rsid w:val="00FD1083"/>
    <w:rsid w:val="00FE3FEE"/>
    <w:rsid w:val="00FF40AC"/>
    <w:rsid w:val="00FF5C8E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basedOn w:val="a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4392</Words>
  <Characters>2504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209</cp:revision>
  <cp:lastPrinted>2025-10-24T07:17:00Z</cp:lastPrinted>
  <dcterms:created xsi:type="dcterms:W3CDTF">2022-11-03T12:06:00Z</dcterms:created>
  <dcterms:modified xsi:type="dcterms:W3CDTF">2025-10-24T07:59:00Z</dcterms:modified>
</cp:coreProperties>
</file>