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B4C2" w14:textId="77777777" w:rsidR="000E705C" w:rsidRPr="000E705C" w:rsidRDefault="000E705C" w:rsidP="000E705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70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A33B90" w14:textId="4F1D4C17" w:rsidR="000E705C" w:rsidRPr="000E705C" w:rsidRDefault="009D7699" w:rsidP="000E705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2D4C8EC" wp14:editId="0D74A652">
            <wp:extent cx="525145" cy="7162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C8ED" w14:textId="77777777" w:rsidR="000E705C" w:rsidRPr="000E705C" w:rsidRDefault="000E705C" w:rsidP="000E705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705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98D5C3" w14:textId="77777777" w:rsidR="000E705C" w:rsidRPr="000E705C" w:rsidRDefault="000E705C" w:rsidP="000E705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705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64D4D05" w14:textId="213DC424" w:rsidR="000E705C" w:rsidRPr="000E705C" w:rsidRDefault="009D7699" w:rsidP="000E705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682D0363" wp14:editId="470EE39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698E6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E90859F" w14:textId="77777777" w:rsidR="000E705C" w:rsidRPr="000E705C" w:rsidRDefault="000E705C" w:rsidP="000E705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70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62DF34" w14:textId="77777777" w:rsidR="000E705C" w:rsidRPr="000E705C" w:rsidRDefault="000E705C" w:rsidP="000E705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19C1CE" w14:textId="77777777" w:rsidR="000E705C" w:rsidRPr="000E705C" w:rsidRDefault="000E705C" w:rsidP="000E70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0E705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2CD5AD" w14:textId="77777777" w:rsidR="000E705C" w:rsidRPr="000E705C" w:rsidRDefault="000E705C" w:rsidP="000E70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705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70E1F85" w14:textId="77777777" w:rsidR="00A13B4F" w:rsidRPr="00CB3F93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3DC0AB5" w14:textId="77777777" w:rsidR="0024102F" w:rsidRPr="00CB3F93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B3F9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B938FFB" w14:textId="77777777" w:rsidR="000B6F5A" w:rsidRDefault="00CB3F93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F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 затвердження </w:t>
      </w:r>
      <w:r w:rsidR="000B6F5A">
        <w:rPr>
          <w:rFonts w:ascii="Times New Roman" w:eastAsia="Times New Roman" w:hAnsi="Times New Roman"/>
          <w:sz w:val="28"/>
          <w:szCs w:val="28"/>
          <w:lang w:eastAsia="ru-RU"/>
        </w:rPr>
        <w:t>Положення</w:t>
      </w:r>
    </w:p>
    <w:p w14:paraId="07075BF1" w14:textId="77777777" w:rsidR="00CB3F93" w:rsidRDefault="00CB3F93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F93">
        <w:rPr>
          <w:rFonts w:ascii="Times New Roman" w:eastAsia="Times New Roman" w:hAnsi="Times New Roman"/>
          <w:sz w:val="28"/>
          <w:szCs w:val="28"/>
          <w:lang w:eastAsia="ru-RU"/>
        </w:rPr>
        <w:t>про узгоджувальну комісію</w:t>
      </w:r>
    </w:p>
    <w:p w14:paraId="405ED22A" w14:textId="77777777" w:rsidR="000B6F5A" w:rsidRDefault="00CB3F93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F93">
        <w:rPr>
          <w:rFonts w:ascii="Times New Roman" w:eastAsia="Times New Roman" w:hAnsi="Times New Roman"/>
          <w:sz w:val="28"/>
          <w:szCs w:val="28"/>
          <w:lang w:eastAsia="ru-RU"/>
        </w:rPr>
        <w:t>по вирішенню земельних спорів</w:t>
      </w:r>
    </w:p>
    <w:p w14:paraId="10B17625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30E179A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EAC1E39" w14:textId="77777777" w:rsidR="00CB3F93" w:rsidRPr="00CB3F93" w:rsidRDefault="00CB3F93" w:rsidP="00CB3F9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Відповідно до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 ст. 26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59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місцеве самоврядування в Україні»,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Pr="00CB3F93">
        <w:rPr>
          <w:rFonts w:ascii="Times New Roman" w:eastAsia="Times New Roman" w:hAnsi="Times New Roman"/>
          <w:sz w:val="28"/>
          <w:szCs w:val="28"/>
          <w:lang w:eastAsia="ru-RU"/>
        </w:rPr>
        <w:t xml:space="preserve">12, 158-161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Земельног</w:t>
      </w:r>
      <w:r w:rsidR="00011B0A" w:rsidRPr="00D26277">
        <w:rPr>
          <w:rFonts w:ascii="Times New Roman" w:eastAsia="Times New Roman" w:hAnsi="Times New Roman"/>
          <w:sz w:val="28"/>
          <w:szCs w:val="28"/>
          <w:lang w:eastAsia="uk-UA"/>
        </w:rPr>
        <w:t>о кодексу України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C60C53" w:rsidRP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враховуючи пропозиції постійної комісії</w:t>
      </w:r>
      <w:r w:rsidR="00C60C53" w:rsidRPr="00954EEF">
        <w:rPr>
          <w:rFonts w:ascii="Times New Roman" w:eastAsia="Times New Roman" w:hAnsi="Times New Roman"/>
          <w:sz w:val="28"/>
          <w:szCs w:val="28"/>
          <w:lang w:eastAsia="uk-UA"/>
        </w:rPr>
        <w:t xml:space="preserve"> з питань регулювання земельних відносин та раціонального використання природних ресурсів</w:t>
      </w:r>
      <w:r w:rsidR="00011B0A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, міська рада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3C106227" w14:textId="77777777" w:rsidR="00CB3F93" w:rsidRDefault="00CB3F93" w:rsidP="00CB3F93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Затвердити Положення про узгоджувальну комісію по вирішенню </w:t>
      </w:r>
      <w:r w:rsidR="000B6F5A">
        <w:rPr>
          <w:rFonts w:ascii="Times New Roman" w:eastAsia="Times New Roman" w:hAnsi="Times New Roman"/>
          <w:sz w:val="28"/>
          <w:szCs w:val="28"/>
          <w:lang w:eastAsia="uk-UA"/>
        </w:rPr>
        <w:t>земельних спорів (додаток 1).</w:t>
      </w:r>
    </w:p>
    <w:p w14:paraId="5B923CCC" w14:textId="77777777" w:rsidR="000B6F5A" w:rsidRPr="00CB3F93" w:rsidRDefault="000B6F5A" w:rsidP="00CB3F93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Затвердити склад узгоджувальної комісії по вирішенню земельних спорів (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додаток 2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). </w:t>
      </w:r>
    </w:p>
    <w:p w14:paraId="143334A8" w14:textId="77777777"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B77BCA5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B8CAE7B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F0E626D" w14:textId="77777777" w:rsidR="009E01A5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p w14:paraId="55E2BCD9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673B515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F6E82E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E3608CC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9FC5D05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189334D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781EA6F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E0B9FE1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F0168CF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41EA085" w14:textId="77777777" w:rsidR="000B6F5A" w:rsidRDefault="000B6F5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600E78F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BC0193C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3950D28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82682D6" w14:textId="77777777" w:rsidR="000B6F5A" w:rsidRPr="000B6F5A" w:rsidRDefault="00CB3F93" w:rsidP="000B6F5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 </w:t>
      </w: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610"/>
        <w:gridCol w:w="3728"/>
      </w:tblGrid>
      <w:tr w:rsidR="000B6F5A" w:rsidRPr="000B6F5A" w14:paraId="0BE59A1C" w14:textId="77777777" w:rsidTr="00B33C31">
        <w:tc>
          <w:tcPr>
            <w:tcW w:w="5762" w:type="dxa"/>
          </w:tcPr>
          <w:p w14:paraId="08761447" w14:textId="77777777" w:rsidR="000B6F5A" w:rsidRPr="000B6F5A" w:rsidRDefault="000B6F5A" w:rsidP="00B33C31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2" w:type="dxa"/>
          </w:tcPr>
          <w:p w14:paraId="34F494AD" w14:textId="77777777" w:rsidR="000B6F5A" w:rsidRPr="000B6F5A" w:rsidRDefault="000B6F5A" w:rsidP="00B33C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F5A">
              <w:rPr>
                <w:rFonts w:ascii="Times New Roman" w:eastAsia="Times New Roman" w:hAnsi="Times New Roman"/>
                <w:sz w:val="28"/>
                <w:szCs w:val="28"/>
              </w:rPr>
              <w:t>Додаток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  <w:p w14:paraId="25F8831F" w14:textId="77777777" w:rsidR="000B6F5A" w:rsidRPr="000B6F5A" w:rsidRDefault="000B6F5A" w:rsidP="00B33C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F5A">
              <w:rPr>
                <w:rFonts w:ascii="Times New Roman" w:eastAsia="Times New Roman" w:hAnsi="Times New Roman"/>
                <w:sz w:val="28"/>
                <w:szCs w:val="28"/>
              </w:rPr>
              <w:t>до рішення сесії міської ради</w:t>
            </w:r>
          </w:p>
          <w:p w14:paraId="49CB00AC" w14:textId="77777777" w:rsidR="000B6F5A" w:rsidRPr="000B6F5A" w:rsidRDefault="000B6F5A" w:rsidP="00B33C31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 31</w:t>
            </w:r>
            <w:r w:rsidRPr="000B6F5A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0B6F5A">
              <w:rPr>
                <w:rFonts w:ascii="Times New Roman" w:eastAsia="Times New Roman" w:hAnsi="Times New Roman"/>
                <w:sz w:val="28"/>
                <w:szCs w:val="28"/>
              </w:rPr>
              <w:t>.2025 № _____</w:t>
            </w:r>
          </w:p>
        </w:tc>
      </w:tr>
    </w:tbl>
    <w:p w14:paraId="0255CC90" w14:textId="77777777" w:rsidR="000B6F5A" w:rsidRPr="000B6F5A" w:rsidRDefault="000B6F5A" w:rsidP="000B6F5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3095601E" w14:textId="77777777" w:rsidR="00373FC1" w:rsidRDefault="00373FC1" w:rsidP="00CB3F93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6D953464" w14:textId="77777777" w:rsidR="00CB3F93" w:rsidRPr="00CB3F93" w:rsidRDefault="00CB3F93" w:rsidP="00373FC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ПОЛОЖЕННЯ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C60C5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 </w:t>
      </w:r>
      <w:r w:rsidRPr="00CB3F9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узгоджувальну комісію по вирішенню земельних спорів</w:t>
      </w:r>
    </w:p>
    <w:p w14:paraId="1007DAD7" w14:textId="77777777" w:rsidR="00CB3F93" w:rsidRDefault="00CB3F93" w:rsidP="00CB3F93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  <w:t>1. Загальні положення.</w:t>
      </w:r>
    </w:p>
    <w:p w14:paraId="18631CFC" w14:textId="77777777" w:rsidR="00AB4C2A" w:rsidRDefault="00AB4C2A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14:paraId="2D5BAFD6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1.1. Положення про узгоджувальну комісію </w:t>
      </w:r>
      <w:r w:rsidR="00AB4C2A">
        <w:rPr>
          <w:rFonts w:ascii="Times New Roman" w:eastAsia="Times New Roman" w:hAnsi="Times New Roman"/>
          <w:sz w:val="28"/>
          <w:szCs w:val="28"/>
          <w:lang w:eastAsia="uk-UA"/>
        </w:rPr>
        <w:t xml:space="preserve">Рогатинської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міської ради по вирішенню земельних спорів (надалі – Положення) визначає правові, організаційні засади діяльності (функціонування) узгоджувальної комісії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ої міської ради по розгляду земельних спорів (надалі – узгоджувальна комісія), її функції і завдання в галузі регулювання земельних відносин.</w:t>
      </w:r>
    </w:p>
    <w:p w14:paraId="317578BD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1.2. Положення та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зміни до нього затверджується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рішенням сесії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ої міської ради.</w:t>
      </w:r>
    </w:p>
    <w:p w14:paraId="02A5B5E4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1.3. Узгоджувальна комісія – орган ради, утворений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ою міською радою для вирішення з</w:t>
      </w:r>
      <w:r w:rsidR="000B6F5A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емельних спорів </w:t>
      </w:r>
      <w:r w:rsidR="00C60C53" w:rsidRP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у межах території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ої міської територіальної громади</w:t>
      </w:r>
      <w:r w:rsidR="00031089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Івано-Франківського району Івано-Франківської області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2A3FAD64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1.4. Кількісний та персональни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й склад узгоджувальної комісії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та зміни до нього затверд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жується рішенням сесії міської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ради.</w:t>
      </w:r>
    </w:p>
    <w:p w14:paraId="67EBACB2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1.5. У сво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їй роботі узгоджувальна комісія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керується наступними</w:t>
      </w:r>
      <w:r w:rsidR="000B6F5A">
        <w:rPr>
          <w:rFonts w:ascii="Times New Roman" w:eastAsia="Times New Roman" w:hAnsi="Times New Roman"/>
          <w:sz w:val="28"/>
          <w:szCs w:val="28"/>
          <w:lang w:eastAsia="uk-UA"/>
        </w:rPr>
        <w:t xml:space="preserve"> нормативно – правовими актами: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Конституцією України,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Земельним кодексом України, Цивільним кодексом України, Законами України: «Про оренду землі», «Про землеустрій», «Про місцеве самоврядування в Україні», «Про Державний земельний кадастр», «Про дозвільну систему у сфері господарської діяльності», «Про державну реєстрацію речових прав на нерухоме майно та їх обтяжень», «Про внесення змін до деяких законодавчих актів України щодо розмежування земель державної та комунальної власності», іншим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 нормативно-правовими актами.</w:t>
      </w:r>
    </w:p>
    <w:p w14:paraId="574D1190" w14:textId="77777777" w:rsidR="00CB3F93" w:rsidRDefault="00CB3F93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  <w:t>2. Основні завдання та компетенція</w:t>
      </w:r>
    </w:p>
    <w:p w14:paraId="42A7A68A" w14:textId="77777777" w:rsidR="00AB4C2A" w:rsidRDefault="00AB4C2A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4ACE52F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2.1. Узгоджувальна комісія розглядає спори щодо меж земельних ділянок, що перебувають </w:t>
      </w:r>
      <w:r w:rsidR="00031089" w:rsidRPr="00031089">
        <w:rPr>
          <w:rFonts w:ascii="Times New Roman" w:eastAsia="Times New Roman" w:hAnsi="Times New Roman"/>
          <w:sz w:val="28"/>
          <w:szCs w:val="28"/>
          <w:lang w:eastAsia="uk-UA"/>
        </w:rPr>
        <w:t>у власності і користуванні громадян, обмежень у використанні земель та земельних сервітутів, додержання громадянами правил добросусідства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 (надалі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– земельні спори).</w:t>
      </w:r>
    </w:p>
    <w:p w14:paraId="67E108E0" w14:textId="77777777" w:rsidR="00AB4C2A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2.2. Рішення узгоджувальної комісії оформляється протоколом та має рекомендаційний характер і затверджується ріш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енням міської ради.</w:t>
      </w:r>
    </w:p>
    <w:p w14:paraId="3F1E5A2F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2.3. Для вирішення земельних спорів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комісія має право:</w:t>
      </w:r>
    </w:p>
    <w:p w14:paraId="0A768AA1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- направляти запити юридичним особам щодо надання інформації, матеріалів, висновків, що стосуються розгляд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 земельного спору;</w:t>
      </w:r>
    </w:p>
    <w:p w14:paraId="00B0F5E5" w14:textId="77777777" w:rsidR="00AB4C2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надавати рекомендації та пропозиції з метою вирішен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ня земельного спору;</w:t>
      </w:r>
    </w:p>
    <w:p w14:paraId="1FD5F689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для розгляду земельного спору залучати експертів, фахівців, спеціалістів інших органів влади, підприємств, організацій та установ за погодженням з їхнім керівництвом.</w:t>
      </w:r>
    </w:p>
    <w:p w14:paraId="6E5F9CEA" w14:textId="77777777" w:rsidR="00CB3F93" w:rsidRDefault="00CB3F93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  <w:t>3. Порядок роботи</w:t>
      </w:r>
    </w:p>
    <w:p w14:paraId="6513BCB9" w14:textId="77777777" w:rsidR="00AB4C2A" w:rsidRDefault="00AB4C2A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13BE33E" w14:textId="77777777" w:rsidR="00CB3F93" w:rsidRDefault="00AB4C2A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3.1. Скликання узгоджувальної комісії, організацію роботи, підготовку і внесення матеріалів для розгляду земельного спору на засіданні узгоджувальної комісії здійснює секретар узгоджувальної комісії.</w:t>
      </w:r>
    </w:p>
    <w:p w14:paraId="318999CA" w14:textId="77777777" w:rsidR="000B6F5A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3.2. Розгляд земельних спорів на засіданні узгоджувальної комісії проводиться на підставі заяви однієї із сторін у строк, передбачений чинним законодавством. До заяви подаються наступні документи:</w:t>
      </w:r>
    </w:p>
    <w:p w14:paraId="06DDB32D" w14:textId="77777777" w:rsidR="000B6F5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BB7F3E">
        <w:rPr>
          <w:rFonts w:ascii="Times New Roman" w:eastAsia="Times New Roman" w:hAnsi="Times New Roman"/>
          <w:sz w:val="28"/>
          <w:szCs w:val="28"/>
          <w:lang w:eastAsia="uk-UA"/>
        </w:rPr>
        <w:t xml:space="preserve">копію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документ</w:t>
      </w:r>
      <w:r w:rsidR="00BB7F3E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, що посвідчує особу;</w:t>
      </w:r>
    </w:p>
    <w:p w14:paraId="022F8232" w14:textId="77777777" w:rsidR="000B6F5A" w:rsidRDefault="00A91BC6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копії документів, що засвідчують право на земельну ділянку та нерухоме майно, яке знаходиться на ній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(в разі наявності)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73A25828" w14:textId="77777777" w:rsidR="00031089" w:rsidRDefault="00031089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 xml:space="preserve">копію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(в разі наявності)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361CE5E1" w14:textId="77777777" w:rsidR="000B6F5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графічні матеріали (план спірних земельних ділянок з підтвердженням відсутності «накладки» на суміжні земельні ділянки, виготовлених ліцензованою проектною землевпорядною організацією; копія довідки з містобудівного кадастру, архівний план земельної ділянки з бюро технічної інвентаризації (в разі наявності), тощо);</w:t>
      </w:r>
    </w:p>
    <w:p w14:paraId="0DABB026" w14:textId="77777777" w:rsidR="000B6F5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копії прийнятих рішень виконавчого комітету або міської ради, а також су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>дових рішень (в разі наявності)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E915941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Комісія має право отримувати додаткові документи.</w:t>
      </w:r>
    </w:p>
    <w:p w14:paraId="7919D5F8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3.3. Комісія зобов’язана залучати до участі у розгляді земельних спорів старост старостинських округів</w:t>
      </w:r>
      <w:r w:rsidR="00A91BC6" w:rsidRPr="00A91BC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 xml:space="preserve">тих </w:t>
      </w:r>
      <w:r w:rsidR="00A91BC6" w:rsidRPr="00CB3F93">
        <w:rPr>
          <w:rFonts w:ascii="Times New Roman" w:eastAsia="Times New Roman" w:hAnsi="Times New Roman"/>
          <w:sz w:val="28"/>
          <w:szCs w:val="28"/>
          <w:lang w:eastAsia="uk-UA"/>
        </w:rPr>
        <w:t>сіл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, в яких виник спір.</w:t>
      </w:r>
    </w:p>
    <w:p w14:paraId="6F32969C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3.4. Секретар узгоджувальної комісії:</w:t>
      </w:r>
    </w:p>
    <w:p w14:paraId="02C8C0E8" w14:textId="77777777" w:rsidR="00C60C5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проводить прийом фізичних, юридичних осіб і надає консультації;</w:t>
      </w:r>
    </w:p>
    <w:p w14:paraId="6A9D3CDA" w14:textId="77777777" w:rsidR="00AB4C2A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готує документи, необхідні для розгляду земельного спору;</w:t>
      </w:r>
    </w:p>
    <w:p w14:paraId="2D34565C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- визначає, чи належить до компетенції узгоджувальної комісії розгляд питання, зазначеного у зверненні, та чи 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повному обсязі подано документи;</w:t>
      </w:r>
    </w:p>
    <w:p w14:paraId="4BE1C5C3" w14:textId="77777777" w:rsidR="00CB3F93" w:rsidRDefault="00C60C5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разі необхідності, інформує щодо надання додаткових документів;</w:t>
      </w:r>
    </w:p>
    <w:p w14:paraId="2F6CA87A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завчасно повідомляє всі сп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ірні сторони та членів комісії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про дату, час і місце розгляду земельного спору;</w:t>
      </w:r>
    </w:p>
    <w:p w14:paraId="7688139A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готує протоколи засідань узгоджувальної комісії, погоджує протоколи з усіма членами узгоджувальної комісії, а також головуючим (головою комісії або заступником), які були присутні на засіданні;</w:t>
      </w:r>
    </w:p>
    <w:p w14:paraId="5D64FF7E" w14:textId="77777777" w:rsidR="00CB3F93" w:rsidRDefault="00CB3F93" w:rsidP="00AB4C2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- готує витяги з протоколів узгоджувальної комісії, підписує їх особисто та видає сторонам, які брали участь у земельному спорі.</w:t>
      </w:r>
    </w:p>
    <w:p w14:paraId="06AA6B0E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3.5. Засідання узгоджувальної комісії проводиться, якщо в ньому бере участь не менше 2/3 її складу. Рішення комісії за результатом розгляду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земельного спору приймається більшістю голосів від загального складу комісії і заноситься до протоколу засідання.</w:t>
      </w:r>
    </w:p>
    <w:p w14:paraId="52D9A93D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3.6. Протоколи узгоджувальної комісії готуються у двох примірниках і підписуються головою, секретарем та присутніми членами Комісії.</w:t>
      </w:r>
    </w:p>
    <w:p w14:paraId="033E68FF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3.7. Рішення органу місцевого самоврядування про затвердження протоколів узгоджувальної комісії передається сторонам у </w:t>
      </w:r>
      <w:r w:rsidR="000B6F5A">
        <w:rPr>
          <w:rFonts w:ascii="Times New Roman" w:eastAsia="Times New Roman" w:hAnsi="Times New Roman"/>
          <w:sz w:val="28"/>
          <w:szCs w:val="28"/>
          <w:lang w:eastAsia="uk-UA"/>
        </w:rPr>
        <w:t xml:space="preserve">десятиденний строк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з дня його прийняття.</w:t>
      </w:r>
    </w:p>
    <w:p w14:paraId="0C4EBE54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n1597"/>
      <w:bookmarkEnd w:id="0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3.8. Протоколи, витяги з протоколів та первинні матеріали зберігаються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в у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становленому порядку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у відділі земельних ресурсів </w:t>
      </w:r>
      <w:r w:rsidR="00FB3098">
        <w:rPr>
          <w:rFonts w:ascii="Times New Roman" w:eastAsia="Times New Roman" w:hAnsi="Times New Roman"/>
          <w:sz w:val="28"/>
          <w:szCs w:val="28"/>
          <w:lang w:eastAsia="uk-UA"/>
        </w:rPr>
        <w:t>Рогатинськ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ої міської ради.</w:t>
      </w:r>
    </w:p>
    <w:p w14:paraId="43E85F21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3.9. Рішення органу місцевого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щодо земельних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спорів вступає в силу з моменту його прийняття. Оскарження зазначених рішень у суді призупиняє їх виконання. У прийнятому рішенні визнач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ається порядок його виконання.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br/>
      </w:r>
    </w:p>
    <w:p w14:paraId="449651D1" w14:textId="77777777" w:rsidR="00CB3F93" w:rsidRDefault="00A91BC6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4. Права і обов’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язки сторін при розгляді земельних спорів</w:t>
      </w:r>
    </w:p>
    <w:p w14:paraId="55CD8B80" w14:textId="77777777" w:rsidR="00AB4C2A" w:rsidRDefault="00AB4C2A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96D9FC4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bookmarkStart w:id="1" w:name="n1594"/>
      <w:bookmarkEnd w:id="1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4.1. Сторони, які беруть участь у земельному спорі, мають право знайомитися з матеріалами щодо цього спору, робити з них виписки, брати участь у розгляді земельного спору, подавати документи та інші докази, порушувати клопотання, давати усні і письмові пояснення, заперечувати проти клопотань та доказів іншої сторони, одержувати копі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>ю рішення щодо земельного спору та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, у разі незгоди з цим рішенням, оскаржувати його.</w:t>
      </w:r>
    </w:p>
    <w:p w14:paraId="0D96FC1F" w14:textId="77777777" w:rsidR="00CB3F93" w:rsidRDefault="00CB3F93" w:rsidP="00C60C53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4.2. Земельні спори розглядаються за участю зацікавлених сторін, які повинні бути завчасно повідомлені про час і місце розгляду спору. У разі відсутності однієї із сторін при першому вирішенні питання і відсутності офіційної згоди на розгляд питан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ня, розгляд спору переноситься.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Повторне відкладання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розгляду спору може мати місце лише з 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поважних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 xml:space="preserve"> п</w:t>
      </w: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ричин.</w:t>
      </w:r>
      <w:bookmarkStart w:id="2" w:name="n1588"/>
      <w:bookmarkEnd w:id="2"/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 Відсутність однієї із сторін без поважних причин при повторному розгляді земельного спору не зупиняє його розгляд і прийняття рішення.</w:t>
      </w:r>
    </w:p>
    <w:p w14:paraId="7452E389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 xml:space="preserve">4.3. У разі незгоди власників землі або землекористувачів з рішеннями узгоджувальної комісії або міської ради, спір вирішується 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у судовому порядку.</w:t>
      </w:r>
    </w:p>
    <w:p w14:paraId="2AEFFA67" w14:textId="77777777" w:rsid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14:paraId="5366102B" w14:textId="77777777" w:rsidR="00CB3F93" w:rsidRDefault="00CB3F93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5. Склад узгоджувальної комісії</w:t>
      </w:r>
    </w:p>
    <w:p w14:paraId="0D8717CB" w14:textId="77777777" w:rsidR="00A91BC6" w:rsidRDefault="00A91BC6" w:rsidP="00AB4C2A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2A875E1" w14:textId="77777777" w:rsidR="00AB4C2A" w:rsidRDefault="00AB4C2A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C60C53">
        <w:rPr>
          <w:rFonts w:ascii="Times New Roman" w:eastAsia="Times New Roman" w:hAnsi="Times New Roman"/>
          <w:sz w:val="28"/>
          <w:szCs w:val="28"/>
          <w:lang w:eastAsia="uk-UA"/>
        </w:rPr>
        <w:t>5.1. Склад </w:t>
      </w:r>
      <w:r w:rsidR="00CB3F93" w:rsidRPr="00CB3F93">
        <w:rPr>
          <w:rFonts w:ascii="Times New Roman" w:eastAsia="Times New Roman" w:hAnsi="Times New Roman"/>
          <w:sz w:val="28"/>
          <w:szCs w:val="28"/>
          <w:lang w:eastAsia="uk-UA"/>
        </w:rPr>
        <w:t>комісії визначається у порядку, встановл</w:t>
      </w:r>
      <w:r w:rsidR="00A91BC6">
        <w:rPr>
          <w:rFonts w:ascii="Times New Roman" w:eastAsia="Times New Roman" w:hAnsi="Times New Roman"/>
          <w:sz w:val="28"/>
          <w:szCs w:val="28"/>
          <w:lang w:eastAsia="uk-UA"/>
        </w:rPr>
        <w:t>еному п. 1.4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даного Положення.</w:t>
      </w:r>
    </w:p>
    <w:p w14:paraId="63BEF5E1" w14:textId="77777777" w:rsidR="00CB3F93" w:rsidRPr="00CB3F93" w:rsidRDefault="00CB3F93" w:rsidP="00AB4C2A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B3F93">
        <w:rPr>
          <w:rFonts w:ascii="Times New Roman" w:eastAsia="Times New Roman" w:hAnsi="Times New Roman"/>
          <w:sz w:val="28"/>
          <w:szCs w:val="28"/>
          <w:lang w:eastAsia="uk-UA"/>
        </w:rPr>
        <w:t>5.2. Керівництво діяльністю узгоджувальної комісії здійснює голова комісії, а в разі його відсутності – заступник.</w:t>
      </w:r>
    </w:p>
    <w:p w14:paraId="2FEB9AF8" w14:textId="77777777" w:rsidR="00CB3F93" w:rsidRPr="00CB3F93" w:rsidRDefault="00CB3F93" w:rsidP="00CB3F9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A4FAF3" w14:textId="77777777" w:rsidR="00AB4C2A" w:rsidRDefault="00AB4C2A" w:rsidP="00AB4C2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03C3AD4" w14:textId="77777777" w:rsidR="00AB4C2A" w:rsidRPr="00AB4C2A" w:rsidRDefault="00AB4C2A" w:rsidP="00AB4C2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B4C2A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B4C2A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p w14:paraId="01A9CF48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A819EB9" w14:textId="77777777" w:rsidR="00CB3F93" w:rsidRDefault="00CB3F93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9B30770" w14:textId="77777777" w:rsidR="00031089" w:rsidRDefault="00031089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43105AA" w14:textId="77777777" w:rsidR="000B6F5A" w:rsidRDefault="000B6F5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610"/>
        <w:gridCol w:w="3728"/>
      </w:tblGrid>
      <w:tr w:rsidR="000B6F5A" w:rsidRPr="000B6F5A" w14:paraId="109134C3" w14:textId="77777777" w:rsidTr="00B33C31">
        <w:tc>
          <w:tcPr>
            <w:tcW w:w="5762" w:type="dxa"/>
          </w:tcPr>
          <w:p w14:paraId="57B32A84" w14:textId="77777777" w:rsidR="000B6F5A" w:rsidRPr="000B6F5A" w:rsidRDefault="000B6F5A" w:rsidP="00B33C31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2" w:type="dxa"/>
          </w:tcPr>
          <w:p w14:paraId="0F72E90A" w14:textId="77777777" w:rsidR="000B6F5A" w:rsidRPr="000B6F5A" w:rsidRDefault="000B6F5A" w:rsidP="00B33C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F5A">
              <w:rPr>
                <w:rFonts w:ascii="Times New Roman" w:eastAsia="Times New Roman" w:hAnsi="Times New Roman"/>
                <w:sz w:val="28"/>
                <w:szCs w:val="28"/>
              </w:rPr>
              <w:t>Додаток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</w:p>
          <w:p w14:paraId="4662EB5D" w14:textId="77777777" w:rsidR="000B6F5A" w:rsidRPr="000B6F5A" w:rsidRDefault="000B6F5A" w:rsidP="00B33C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6F5A">
              <w:rPr>
                <w:rFonts w:ascii="Times New Roman" w:eastAsia="Times New Roman" w:hAnsi="Times New Roman"/>
                <w:sz w:val="28"/>
                <w:szCs w:val="28"/>
              </w:rPr>
              <w:t>до рішення сесії міської ради</w:t>
            </w:r>
          </w:p>
          <w:p w14:paraId="5BEC3A9B" w14:textId="77777777" w:rsidR="000B6F5A" w:rsidRPr="000B6F5A" w:rsidRDefault="000B6F5A" w:rsidP="00B33C31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 31</w:t>
            </w:r>
            <w:r w:rsidRPr="000B6F5A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0B6F5A">
              <w:rPr>
                <w:rFonts w:ascii="Times New Roman" w:eastAsia="Times New Roman" w:hAnsi="Times New Roman"/>
                <w:sz w:val="28"/>
                <w:szCs w:val="28"/>
              </w:rPr>
              <w:t>.2025 № _____</w:t>
            </w:r>
          </w:p>
        </w:tc>
      </w:tr>
    </w:tbl>
    <w:p w14:paraId="2DA1D842" w14:textId="77777777" w:rsidR="000B6F5A" w:rsidRDefault="000B6F5A" w:rsidP="000B6F5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34F23764" w14:textId="77777777" w:rsidR="00373FC1" w:rsidRPr="000B6F5A" w:rsidRDefault="00373FC1" w:rsidP="000B6F5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B43C1E2" w14:textId="77777777" w:rsidR="00373FC1" w:rsidRDefault="00373FC1" w:rsidP="00CC4596">
      <w:pPr>
        <w:shd w:val="clear" w:color="auto" w:fill="FFFFFF"/>
        <w:ind w:left="57" w:righ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Склад</w:t>
      </w:r>
    </w:p>
    <w:p w14:paraId="0171CAAE" w14:textId="77777777" w:rsidR="00920F1F" w:rsidRPr="00920F1F" w:rsidRDefault="000B6F5A" w:rsidP="00CC4596">
      <w:pPr>
        <w:shd w:val="clear" w:color="auto" w:fill="FFFFFF"/>
        <w:ind w:left="57" w:right="57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73FC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узгоджувальної комісії</w:t>
      </w:r>
      <w:r w:rsidR="00373FC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Pr="00CB3F93">
        <w:rPr>
          <w:rFonts w:ascii="Times New Roman" w:eastAsia="Times New Roman" w:hAnsi="Times New Roman"/>
          <w:b/>
          <w:sz w:val="28"/>
          <w:szCs w:val="28"/>
          <w:lang w:eastAsia="uk-UA"/>
        </w:rPr>
        <w:t>по вирішенню земельних спорів</w:t>
      </w:r>
      <w:r w:rsidRPr="00CB3F93">
        <w:rPr>
          <w:rFonts w:ascii="Times New Roman" w:eastAsia="Times New Roman" w:hAnsi="Times New Roman"/>
          <w:b/>
          <w:sz w:val="28"/>
          <w:szCs w:val="28"/>
          <w:lang w:eastAsia="uk-UA"/>
        </w:rPr>
        <w:br/>
        <w:t> </w:t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2821"/>
        <w:gridCol w:w="6282"/>
      </w:tblGrid>
      <w:tr w:rsidR="009F7395" w:rsidRPr="00920F1F" w14:paraId="19AF2F51" w14:textId="77777777" w:rsidTr="009F7395">
        <w:trPr>
          <w:trHeight w:val="1534"/>
        </w:trPr>
        <w:tc>
          <w:tcPr>
            <w:tcW w:w="2821" w:type="dxa"/>
            <w:shd w:val="clear" w:color="auto" w:fill="auto"/>
          </w:tcPr>
          <w:p w14:paraId="057924F2" w14:textId="77777777" w:rsidR="00920F1F" w:rsidRPr="009F7395" w:rsidRDefault="00920F1F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Голова комісії:</w:t>
            </w:r>
          </w:p>
          <w:p w14:paraId="138B0014" w14:textId="77777777" w:rsidR="00920F1F" w:rsidRPr="009F7395" w:rsidRDefault="00920F1F" w:rsidP="009F7395">
            <w:pPr>
              <w:ind w:left="57"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568ECC06" w14:textId="77777777" w:rsidR="00373FC1" w:rsidRPr="009F7395" w:rsidRDefault="00373FC1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3F35EB10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F7395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Заступник голови</w:t>
            </w:r>
            <w:r w:rsidRPr="00920F1F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комісії:</w:t>
            </w:r>
          </w:p>
        </w:tc>
        <w:tc>
          <w:tcPr>
            <w:tcW w:w="6282" w:type="dxa"/>
            <w:shd w:val="clear" w:color="auto" w:fill="auto"/>
          </w:tcPr>
          <w:p w14:paraId="12878B8C" w14:textId="77777777" w:rsidR="00920F1F" w:rsidRPr="00920F1F" w:rsidRDefault="00B02E5D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Штогрин Володимир Васильович</w:t>
            </w:r>
            <w:r w:rsidR="00920F1F"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</w:p>
          <w:p w14:paraId="75013F51" w14:textId="77777777" w:rsidR="00920F1F" w:rsidRPr="009F7395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заступник міського голови</w:t>
            </w:r>
          </w:p>
          <w:p w14:paraId="4BE6EEE0" w14:textId="77777777" w:rsidR="00920F1F" w:rsidRPr="009F7395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</w:pPr>
          </w:p>
          <w:p w14:paraId="7566E94E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Нитчин Роман Степанович,</w:t>
            </w:r>
          </w:p>
          <w:p w14:paraId="08113EB0" w14:textId="77777777" w:rsidR="00373FC1" w:rsidRPr="009F7395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начал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ьник відділу земельних ресурсів</w:t>
            </w:r>
          </w:p>
          <w:p w14:paraId="189EA867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міської ради</w:t>
            </w:r>
          </w:p>
        </w:tc>
      </w:tr>
      <w:tr w:rsidR="009F7395" w:rsidRPr="00920F1F" w14:paraId="238991B9" w14:textId="77777777" w:rsidTr="009F7395">
        <w:trPr>
          <w:trHeight w:val="1293"/>
        </w:trPr>
        <w:tc>
          <w:tcPr>
            <w:tcW w:w="2821" w:type="dxa"/>
            <w:shd w:val="clear" w:color="auto" w:fill="auto"/>
          </w:tcPr>
          <w:p w14:paraId="70B6FD3B" w14:textId="77777777" w:rsidR="00CC4596" w:rsidRPr="009F7395" w:rsidRDefault="00CC4596" w:rsidP="009F7395">
            <w:pPr>
              <w:ind w:left="57"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14:paraId="371DB339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Секретар комісії:</w:t>
            </w:r>
          </w:p>
        </w:tc>
        <w:tc>
          <w:tcPr>
            <w:tcW w:w="6282" w:type="dxa"/>
            <w:shd w:val="clear" w:color="auto" w:fill="auto"/>
          </w:tcPr>
          <w:p w14:paraId="0971760A" w14:textId="77777777" w:rsidR="00CC4596" w:rsidRPr="009F7395" w:rsidRDefault="00CC4596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bdr w:val="none" w:sz="0" w:space="0" w:color="auto" w:frame="1"/>
                <w:lang w:eastAsia="uk-UA"/>
              </w:rPr>
            </w:pPr>
          </w:p>
          <w:p w14:paraId="60CA196D" w14:textId="77777777" w:rsidR="00CC4596" w:rsidRPr="009F7395" w:rsidRDefault="00CC4596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Кривіцький Василь Ростиславович</w:t>
            </w:r>
            <w:r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</w:p>
          <w:p w14:paraId="443E427D" w14:textId="77777777" w:rsidR="00920F1F" w:rsidRPr="00920F1F" w:rsidRDefault="00CC4596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провідний спеціаліст відділу земельних ресурсів міської ради</w:t>
            </w:r>
          </w:p>
        </w:tc>
      </w:tr>
      <w:tr w:rsidR="009F7395" w:rsidRPr="00920F1F" w14:paraId="5F0684DD" w14:textId="77777777" w:rsidTr="009F7395">
        <w:trPr>
          <w:trHeight w:val="517"/>
        </w:trPr>
        <w:tc>
          <w:tcPr>
            <w:tcW w:w="2821" w:type="dxa"/>
            <w:shd w:val="clear" w:color="auto" w:fill="auto"/>
            <w:vAlign w:val="center"/>
          </w:tcPr>
          <w:p w14:paraId="6FA837A7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Члени комісії:</w:t>
            </w:r>
          </w:p>
          <w:p w14:paraId="236BEC85" w14:textId="77777777" w:rsidR="00920F1F" w:rsidRPr="00920F1F" w:rsidRDefault="00920F1F" w:rsidP="009F7395">
            <w:pPr>
              <w:ind w:left="57"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6282" w:type="dxa"/>
            <w:shd w:val="clear" w:color="auto" w:fill="auto"/>
          </w:tcPr>
          <w:p w14:paraId="7E5D5EB0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9F7395" w:rsidRPr="00920F1F" w14:paraId="2E417AA4" w14:textId="77777777" w:rsidTr="009F7395">
        <w:trPr>
          <w:trHeight w:val="972"/>
        </w:trPr>
        <w:tc>
          <w:tcPr>
            <w:tcW w:w="2821" w:type="dxa"/>
            <w:shd w:val="clear" w:color="auto" w:fill="auto"/>
          </w:tcPr>
          <w:p w14:paraId="1824071A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Сорока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Юрій Йосипович</w:t>
            </w:r>
          </w:p>
        </w:tc>
        <w:tc>
          <w:tcPr>
            <w:tcW w:w="6282" w:type="dxa"/>
            <w:shd w:val="clear" w:color="auto" w:fill="auto"/>
          </w:tcPr>
          <w:p w14:paraId="39312ABE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депутат міської ради, голова п</w:t>
            </w:r>
            <w:r w:rsidRPr="00920F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остійної комісії з питань регулювання земельних відносин та раціонального використання природних ресурсів</w:t>
            </w:r>
          </w:p>
        </w:tc>
      </w:tr>
      <w:tr w:rsidR="009F7395" w:rsidRPr="00920F1F" w14:paraId="059324F4" w14:textId="77777777" w:rsidTr="009F7395">
        <w:trPr>
          <w:trHeight w:val="334"/>
        </w:trPr>
        <w:tc>
          <w:tcPr>
            <w:tcW w:w="2821" w:type="dxa"/>
            <w:shd w:val="clear" w:color="auto" w:fill="auto"/>
          </w:tcPr>
          <w:p w14:paraId="210AA139" w14:textId="77777777" w:rsidR="00920F1F" w:rsidRPr="00920F1F" w:rsidRDefault="00920F1F" w:rsidP="009F7395">
            <w:pPr>
              <w:ind w:left="57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6282" w:type="dxa"/>
            <w:shd w:val="clear" w:color="auto" w:fill="auto"/>
          </w:tcPr>
          <w:p w14:paraId="2FD7D1AA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9F7395" w:rsidRPr="00920F1F" w14:paraId="16532B74" w14:textId="77777777" w:rsidTr="009F7395">
        <w:trPr>
          <w:trHeight w:val="1215"/>
        </w:trPr>
        <w:tc>
          <w:tcPr>
            <w:tcW w:w="2821" w:type="dxa"/>
            <w:shd w:val="clear" w:color="auto" w:fill="auto"/>
          </w:tcPr>
          <w:p w14:paraId="78FD4EF9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Гнип Андрій Михайлович</w:t>
            </w:r>
          </w:p>
        </w:tc>
        <w:tc>
          <w:tcPr>
            <w:tcW w:w="6282" w:type="dxa"/>
            <w:shd w:val="clear" w:color="auto" w:fill="auto"/>
          </w:tcPr>
          <w:p w14:paraId="28CB985A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завідувач сектором «Варта громади» відділу з питань надзвичайних ситуацій, цивільного захисту населення та оборонної роботи виконавчого комітету міської ради</w:t>
            </w:r>
          </w:p>
          <w:p w14:paraId="25A06BC5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9F7395" w:rsidRPr="00920F1F" w14:paraId="5BDB7055" w14:textId="77777777" w:rsidTr="009F7395">
        <w:trPr>
          <w:trHeight w:val="1200"/>
        </w:trPr>
        <w:tc>
          <w:tcPr>
            <w:tcW w:w="2821" w:type="dxa"/>
            <w:shd w:val="clear" w:color="auto" w:fill="auto"/>
          </w:tcPr>
          <w:p w14:paraId="0FB6AE2D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Левицький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Богдан Ярославович</w:t>
            </w:r>
          </w:p>
        </w:tc>
        <w:tc>
          <w:tcPr>
            <w:tcW w:w="6282" w:type="dxa"/>
            <w:shd w:val="clear" w:color="auto" w:fill="auto"/>
          </w:tcPr>
          <w:p w14:paraId="6E44AE31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з питань екології відділу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9F7395" w:rsidRPr="00920F1F" w14:paraId="72096038" w14:textId="77777777" w:rsidTr="009F7395">
        <w:trPr>
          <w:trHeight w:val="881"/>
        </w:trPr>
        <w:tc>
          <w:tcPr>
            <w:tcW w:w="2821" w:type="dxa"/>
            <w:shd w:val="clear" w:color="auto" w:fill="auto"/>
          </w:tcPr>
          <w:p w14:paraId="0C714154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Павлів Микола Іванович</w:t>
            </w:r>
          </w:p>
        </w:tc>
        <w:tc>
          <w:tcPr>
            <w:tcW w:w="6282" w:type="dxa"/>
            <w:shd w:val="clear" w:color="auto" w:fill="auto"/>
          </w:tcPr>
          <w:p w14:paraId="6FE3DBD3" w14:textId="77777777" w:rsidR="00CC4596" w:rsidRPr="009F7395" w:rsidRDefault="00CC4596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  <w:p w14:paraId="13752338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відділу містобудування та архітектури виконавчого комітету міської ради</w:t>
            </w:r>
          </w:p>
          <w:p w14:paraId="0FD4CEAC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9F7395" w:rsidRPr="00920F1F" w14:paraId="1248D75B" w14:textId="77777777" w:rsidTr="009F7395">
        <w:trPr>
          <w:trHeight w:val="653"/>
        </w:trPr>
        <w:tc>
          <w:tcPr>
            <w:tcW w:w="2821" w:type="dxa"/>
            <w:shd w:val="clear" w:color="auto" w:fill="auto"/>
          </w:tcPr>
          <w:p w14:paraId="6CBD25F9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Колос Світлана 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Михайлівна</w:t>
            </w:r>
          </w:p>
        </w:tc>
        <w:tc>
          <w:tcPr>
            <w:tcW w:w="6282" w:type="dxa"/>
            <w:shd w:val="clear" w:color="auto" w:fill="auto"/>
          </w:tcPr>
          <w:p w14:paraId="2F66B55F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відділу власності виконавчого комітету міської ради</w:t>
            </w:r>
          </w:p>
        </w:tc>
      </w:tr>
      <w:tr w:rsidR="009F7395" w:rsidRPr="00920F1F" w14:paraId="5105C05B" w14:textId="77777777" w:rsidTr="009F7395">
        <w:trPr>
          <w:trHeight w:val="319"/>
        </w:trPr>
        <w:tc>
          <w:tcPr>
            <w:tcW w:w="2821" w:type="dxa"/>
            <w:shd w:val="clear" w:color="auto" w:fill="auto"/>
          </w:tcPr>
          <w:p w14:paraId="0F7A695F" w14:textId="77777777" w:rsidR="00920F1F" w:rsidRPr="00920F1F" w:rsidRDefault="00920F1F" w:rsidP="009F7395">
            <w:pPr>
              <w:ind w:left="57"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6282" w:type="dxa"/>
            <w:shd w:val="clear" w:color="auto" w:fill="auto"/>
          </w:tcPr>
          <w:p w14:paraId="66291489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9F7395" w:rsidRPr="00920F1F" w14:paraId="3DAB3009" w14:textId="77777777" w:rsidTr="009F7395">
        <w:trPr>
          <w:trHeight w:val="653"/>
        </w:trPr>
        <w:tc>
          <w:tcPr>
            <w:tcW w:w="2821" w:type="dxa"/>
            <w:shd w:val="clear" w:color="auto" w:fill="auto"/>
          </w:tcPr>
          <w:p w14:paraId="64B1552C" w14:textId="77777777" w:rsidR="00920F1F" w:rsidRPr="00920F1F" w:rsidRDefault="00920F1F" w:rsidP="009F7395">
            <w:pPr>
              <w:ind w:right="57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Сташків</w:t>
            </w:r>
            <w:r w:rsidR="00373FC1" w:rsidRPr="009F7395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920F1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Оксана Богданівна</w:t>
            </w:r>
          </w:p>
        </w:tc>
        <w:tc>
          <w:tcPr>
            <w:tcW w:w="6282" w:type="dxa"/>
            <w:shd w:val="clear" w:color="auto" w:fill="auto"/>
          </w:tcPr>
          <w:p w14:paraId="021D6B54" w14:textId="77777777" w:rsidR="00920F1F" w:rsidRPr="00920F1F" w:rsidRDefault="00920F1F" w:rsidP="009F7395">
            <w:pPr>
              <w:ind w:left="298" w:right="5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20F1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 спеціаліст відділу правової роботи виконавчого комітету міської ради</w:t>
            </w:r>
          </w:p>
        </w:tc>
      </w:tr>
    </w:tbl>
    <w:p w14:paraId="6B5E9DCA" w14:textId="77777777" w:rsidR="00373FC1" w:rsidRPr="00CB3F93" w:rsidRDefault="00920F1F" w:rsidP="00373FC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F1F">
        <w:rPr>
          <w:rFonts w:ascii="Times New Roman" w:eastAsia="Times New Roman" w:hAnsi="Times New Roman"/>
          <w:sz w:val="28"/>
          <w:szCs w:val="28"/>
          <w:lang w:eastAsia="uk-UA"/>
        </w:rPr>
        <w:t> </w:t>
      </w:r>
    </w:p>
    <w:p w14:paraId="27D83B08" w14:textId="77777777" w:rsidR="00373FC1" w:rsidRDefault="00373FC1" w:rsidP="00373FC1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D5D6412" w14:textId="77777777" w:rsidR="00CB3F93" w:rsidRPr="00BF049F" w:rsidRDefault="00373FC1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B4C2A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AB4C2A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sectPr w:rsidR="00CB3F93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B72D" w14:textId="77777777" w:rsidR="00505771" w:rsidRDefault="00505771">
      <w:r>
        <w:separator/>
      </w:r>
    </w:p>
  </w:endnote>
  <w:endnote w:type="continuationSeparator" w:id="0">
    <w:p w14:paraId="27894363" w14:textId="77777777" w:rsidR="00505771" w:rsidRDefault="0050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3DC3" w14:textId="77777777" w:rsidR="00505771" w:rsidRDefault="00505771">
      <w:r>
        <w:separator/>
      </w:r>
    </w:p>
  </w:footnote>
  <w:footnote w:type="continuationSeparator" w:id="0">
    <w:p w14:paraId="50FF678A" w14:textId="77777777" w:rsidR="00505771" w:rsidRDefault="0050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787F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947848A" w14:textId="77777777" w:rsidR="009E01A5" w:rsidRDefault="009E01A5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349E"/>
    <w:multiLevelType w:val="multilevel"/>
    <w:tmpl w:val="99A0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F2"/>
    <w:rsid w:val="00002849"/>
    <w:rsid w:val="00004C5E"/>
    <w:rsid w:val="00011B0A"/>
    <w:rsid w:val="00023DA8"/>
    <w:rsid w:val="0003004C"/>
    <w:rsid w:val="00031089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B6F5A"/>
    <w:rsid w:val="000C134F"/>
    <w:rsid w:val="000D55B9"/>
    <w:rsid w:val="000E5397"/>
    <w:rsid w:val="000E6A67"/>
    <w:rsid w:val="000E705C"/>
    <w:rsid w:val="00101700"/>
    <w:rsid w:val="001201C8"/>
    <w:rsid w:val="0012648C"/>
    <w:rsid w:val="00130E79"/>
    <w:rsid w:val="0014277A"/>
    <w:rsid w:val="001533C4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23BE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839B3"/>
    <w:rsid w:val="002A0050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576B9"/>
    <w:rsid w:val="00373FC1"/>
    <w:rsid w:val="00387E20"/>
    <w:rsid w:val="00390783"/>
    <w:rsid w:val="00391FD0"/>
    <w:rsid w:val="003A10DB"/>
    <w:rsid w:val="003B464B"/>
    <w:rsid w:val="003D1F0A"/>
    <w:rsid w:val="003E3B24"/>
    <w:rsid w:val="003F3C83"/>
    <w:rsid w:val="004127EB"/>
    <w:rsid w:val="004210EF"/>
    <w:rsid w:val="004215CF"/>
    <w:rsid w:val="00430B05"/>
    <w:rsid w:val="004658D7"/>
    <w:rsid w:val="00483BAE"/>
    <w:rsid w:val="004862F1"/>
    <w:rsid w:val="004866AE"/>
    <w:rsid w:val="00494656"/>
    <w:rsid w:val="004A4A65"/>
    <w:rsid w:val="004A6E86"/>
    <w:rsid w:val="004B6F70"/>
    <w:rsid w:val="004C25A8"/>
    <w:rsid w:val="004D5F43"/>
    <w:rsid w:val="004D74C5"/>
    <w:rsid w:val="004F6C93"/>
    <w:rsid w:val="005005AE"/>
    <w:rsid w:val="00505771"/>
    <w:rsid w:val="00522DD4"/>
    <w:rsid w:val="00526640"/>
    <w:rsid w:val="00526D9C"/>
    <w:rsid w:val="00541A3E"/>
    <w:rsid w:val="00550AD7"/>
    <w:rsid w:val="00551F1F"/>
    <w:rsid w:val="005551C5"/>
    <w:rsid w:val="0055565A"/>
    <w:rsid w:val="005570F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57122"/>
    <w:rsid w:val="0066372B"/>
    <w:rsid w:val="00664706"/>
    <w:rsid w:val="00667C45"/>
    <w:rsid w:val="00675FF7"/>
    <w:rsid w:val="00682501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7316AD"/>
    <w:rsid w:val="00755EF3"/>
    <w:rsid w:val="00762196"/>
    <w:rsid w:val="00762999"/>
    <w:rsid w:val="007638B8"/>
    <w:rsid w:val="0076421E"/>
    <w:rsid w:val="0077712A"/>
    <w:rsid w:val="00787815"/>
    <w:rsid w:val="0079583D"/>
    <w:rsid w:val="007A59F7"/>
    <w:rsid w:val="007C1817"/>
    <w:rsid w:val="007C2EB8"/>
    <w:rsid w:val="007C59A5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0F1F"/>
    <w:rsid w:val="009306BB"/>
    <w:rsid w:val="009341DF"/>
    <w:rsid w:val="009362C9"/>
    <w:rsid w:val="00944F20"/>
    <w:rsid w:val="00953114"/>
    <w:rsid w:val="00954EEF"/>
    <w:rsid w:val="00964534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7699"/>
    <w:rsid w:val="009E01A5"/>
    <w:rsid w:val="009F38B4"/>
    <w:rsid w:val="009F7395"/>
    <w:rsid w:val="00A13B4F"/>
    <w:rsid w:val="00A569AB"/>
    <w:rsid w:val="00A57AD3"/>
    <w:rsid w:val="00A735F3"/>
    <w:rsid w:val="00A747AB"/>
    <w:rsid w:val="00A812B4"/>
    <w:rsid w:val="00A91831"/>
    <w:rsid w:val="00A91BC6"/>
    <w:rsid w:val="00A943EA"/>
    <w:rsid w:val="00AA72B5"/>
    <w:rsid w:val="00AA7B48"/>
    <w:rsid w:val="00AB14FD"/>
    <w:rsid w:val="00AB4C2A"/>
    <w:rsid w:val="00AD00C2"/>
    <w:rsid w:val="00AD3FC9"/>
    <w:rsid w:val="00AE064A"/>
    <w:rsid w:val="00AE0D93"/>
    <w:rsid w:val="00AE2815"/>
    <w:rsid w:val="00AF3FE9"/>
    <w:rsid w:val="00AF7050"/>
    <w:rsid w:val="00B02E5D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1A"/>
    <w:rsid w:val="00B8138B"/>
    <w:rsid w:val="00B8176A"/>
    <w:rsid w:val="00B94E3F"/>
    <w:rsid w:val="00BA002C"/>
    <w:rsid w:val="00BA1257"/>
    <w:rsid w:val="00BA794A"/>
    <w:rsid w:val="00BB7F3E"/>
    <w:rsid w:val="00BC35A1"/>
    <w:rsid w:val="00BE6BF7"/>
    <w:rsid w:val="00BF049F"/>
    <w:rsid w:val="00BF1687"/>
    <w:rsid w:val="00C036BA"/>
    <w:rsid w:val="00C100FD"/>
    <w:rsid w:val="00C132B5"/>
    <w:rsid w:val="00C17487"/>
    <w:rsid w:val="00C1774B"/>
    <w:rsid w:val="00C17812"/>
    <w:rsid w:val="00C251D4"/>
    <w:rsid w:val="00C259D4"/>
    <w:rsid w:val="00C26D95"/>
    <w:rsid w:val="00C521C5"/>
    <w:rsid w:val="00C60C53"/>
    <w:rsid w:val="00C657C7"/>
    <w:rsid w:val="00C8466B"/>
    <w:rsid w:val="00C9058F"/>
    <w:rsid w:val="00CA0138"/>
    <w:rsid w:val="00CA14CA"/>
    <w:rsid w:val="00CA425C"/>
    <w:rsid w:val="00CB3F93"/>
    <w:rsid w:val="00CC1948"/>
    <w:rsid w:val="00CC4596"/>
    <w:rsid w:val="00D02814"/>
    <w:rsid w:val="00D04837"/>
    <w:rsid w:val="00D174E0"/>
    <w:rsid w:val="00D26277"/>
    <w:rsid w:val="00D34C92"/>
    <w:rsid w:val="00D434D7"/>
    <w:rsid w:val="00D5197B"/>
    <w:rsid w:val="00D5227D"/>
    <w:rsid w:val="00D71D23"/>
    <w:rsid w:val="00D816EB"/>
    <w:rsid w:val="00DA2F98"/>
    <w:rsid w:val="00DA7E0B"/>
    <w:rsid w:val="00DB308F"/>
    <w:rsid w:val="00DB31D4"/>
    <w:rsid w:val="00DB33AC"/>
    <w:rsid w:val="00DB3442"/>
    <w:rsid w:val="00DC0E67"/>
    <w:rsid w:val="00DC20D6"/>
    <w:rsid w:val="00DC5224"/>
    <w:rsid w:val="00DC6055"/>
    <w:rsid w:val="00DC6957"/>
    <w:rsid w:val="00DD1285"/>
    <w:rsid w:val="00DE175D"/>
    <w:rsid w:val="00DE2DD2"/>
    <w:rsid w:val="00E143C0"/>
    <w:rsid w:val="00E14BCC"/>
    <w:rsid w:val="00E37906"/>
    <w:rsid w:val="00E718F5"/>
    <w:rsid w:val="00E81350"/>
    <w:rsid w:val="00E85C47"/>
    <w:rsid w:val="00E86C69"/>
    <w:rsid w:val="00EA3581"/>
    <w:rsid w:val="00EB045E"/>
    <w:rsid w:val="00EB4D2B"/>
    <w:rsid w:val="00EB79A4"/>
    <w:rsid w:val="00EC573C"/>
    <w:rsid w:val="00EE41DD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B3098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918D5"/>
  <w15:docId w15:val="{07B14BC5-3FFC-468C-B4EE-6F7275B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  <w:style w:type="table" w:styleId="ae">
    <w:name w:val="Table Grid"/>
    <w:basedOn w:val="a1"/>
    <w:uiPriority w:val="39"/>
    <w:locked/>
    <w:rsid w:val="00920F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5752</Words>
  <Characters>3280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2</cp:revision>
  <cp:lastPrinted>2025-06-26T08:27:00Z</cp:lastPrinted>
  <dcterms:created xsi:type="dcterms:W3CDTF">2025-07-25T07:52:00Z</dcterms:created>
  <dcterms:modified xsi:type="dcterms:W3CDTF">2025-07-25T07:52:00Z</dcterms:modified>
</cp:coreProperties>
</file>