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D6" w:rsidRPr="00AA4540" w:rsidRDefault="00902ED6" w:rsidP="00902ED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02ED6" w:rsidRPr="00AA4540" w:rsidRDefault="00731362" w:rsidP="00902E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02ED6" w:rsidRPr="00AA4540" w:rsidRDefault="00902ED6" w:rsidP="00902ED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02ED6" w:rsidRPr="00AA4540" w:rsidRDefault="00902ED6" w:rsidP="00902ED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02ED6" w:rsidRPr="00AA4540" w:rsidRDefault="00731362" w:rsidP="00902ED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02ED6" w:rsidRPr="00AA4540" w:rsidRDefault="00902ED6" w:rsidP="00902ED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02ED6" w:rsidRPr="00AA4540" w:rsidRDefault="00902ED6" w:rsidP="00902ED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02ED6" w:rsidRPr="00AA4540" w:rsidRDefault="00902ED6" w:rsidP="00902E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02ED6" w:rsidRPr="00AA4540" w:rsidRDefault="00902ED6" w:rsidP="00902E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>Про включення земельних ділянок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>комунальної власності до переліку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які виставляються на земельні</w:t>
      </w:r>
    </w:p>
    <w:p w:rsidR="00942AA6" w:rsidRDefault="00667FD3" w:rsidP="00667FD3">
      <w:pPr>
        <w:rPr>
          <w:rFonts w:ascii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667FD3" w:rsidRPr="00667FD3" w:rsidRDefault="00667FD3" w:rsidP="00667FD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 w:rsidR="006F44AE"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бюджету,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керуючись </w:t>
      </w:r>
      <w:r w:rsidR="00786E92">
        <w:rPr>
          <w:rFonts w:ascii="Times New Roman" w:eastAsia="Times New Roman" w:hAnsi="Times New Roman"/>
          <w:sz w:val="28"/>
          <w:szCs w:val="28"/>
        </w:rPr>
        <w:t>ст. 26 Закону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України «Про місцеве</w:t>
      </w:r>
      <w:r w:rsidR="00786E92">
        <w:rPr>
          <w:rFonts w:ascii="Times New Roman" w:eastAsia="Times New Roman" w:hAnsi="Times New Roman"/>
          <w:sz w:val="28"/>
          <w:szCs w:val="28"/>
        </w:rPr>
        <w:t xml:space="preserve"> самоврядування в Україні», </w:t>
      </w:r>
      <w:r w:rsidR="00EE63F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E63F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E63F5">
        <w:rPr>
          <w:rFonts w:ascii="Times New Roman" w:hAnsi="Times New Roman"/>
          <w:sz w:val="28"/>
          <w:szCs w:val="28"/>
          <w:lang w:eastAsia="uk-UA"/>
        </w:rPr>
        <w:t>»</w:t>
      </w:r>
      <w:r w:rsidR="00EE63F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6E92">
        <w:rPr>
          <w:rFonts w:ascii="Times New Roman" w:eastAsia="Times New Roman" w:hAnsi="Times New Roman"/>
          <w:sz w:val="28"/>
          <w:szCs w:val="28"/>
        </w:rPr>
        <w:t>ст.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12, 122-124, 134-139 Земельного Кодексу України,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7FD3">
        <w:rPr>
          <w:rFonts w:ascii="Times New Roman" w:eastAsia="Times New Roman" w:hAnsi="Times New Roman"/>
          <w:sz w:val="28"/>
          <w:szCs w:val="28"/>
        </w:rPr>
        <w:t>: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1.Включити земельні ділянки комунальної власності </w:t>
      </w:r>
      <w:r w:rsidR="0075179D">
        <w:rPr>
          <w:rFonts w:ascii="Times New Roman" w:eastAsia="Times New Roman" w:hAnsi="Times New Roman"/>
          <w:sz w:val="28"/>
          <w:szCs w:val="28"/>
          <w:lang w:eastAsia="uk-UA"/>
        </w:rPr>
        <w:t>загальною площею 64,0438 га</w:t>
      </w:r>
      <w:r w:rsidR="0075179D"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до переліку 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 які виставляються на земельні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A149DD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лотами, що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розташовані на території Рогатинської міської територіальної громади</w:t>
      </w:r>
      <w:r w:rsidR="004769F4">
        <w:rPr>
          <w:rFonts w:ascii="Times New Roman" w:eastAsia="Times New Roman" w:hAnsi="Times New Roman"/>
          <w:sz w:val="28"/>
          <w:szCs w:val="28"/>
        </w:rPr>
        <w:t xml:space="preserve"> Івано-Франківського району Івано-Франківської області</w:t>
      </w:r>
      <w:r w:rsidRPr="00667FD3">
        <w:rPr>
          <w:rFonts w:ascii="Times New Roman" w:eastAsia="Times New Roman" w:hAnsi="Times New Roman"/>
          <w:sz w:val="28"/>
          <w:szCs w:val="28"/>
        </w:rPr>
        <w:t>, згідно з додатком 1.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2.Передати земельні ділянки, </w:t>
      </w:r>
      <w:r w:rsidRPr="00667FD3">
        <w:rPr>
          <w:rFonts w:ascii="Times New Roman" w:eastAsia="Times New Roman" w:hAnsi="Times New Roman"/>
          <w:sz w:val="28"/>
          <w:szCs w:val="28"/>
        </w:rPr>
        <w:t>визначені у пункті 1 цього рішення,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у користування на умовах оренди на земельних торгах терміном на 10 років.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3.Встановити стартову ціну річної орендної плати за земельні ділянки, </w:t>
      </w:r>
      <w:r w:rsidRPr="00667FD3">
        <w:rPr>
          <w:rFonts w:ascii="Times New Roman" w:eastAsia="Times New Roman" w:hAnsi="Times New Roman"/>
          <w:sz w:val="28"/>
          <w:szCs w:val="28"/>
        </w:rPr>
        <w:t>визначені у пункті 1 цього рішення,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в розмірі 12 відсотків їх нормативної грошової оцінки.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4.Уповноважити міського голову на підписання протоколів аукціонів та договорів оренди земельних ділянок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визначених у пункті 1 цього рішення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0"/>
        </w:rPr>
        <w:t>5. Відділу земельних ресурсів міської ради вжити організаційних заходів передбачених ст. 135-139 Земельного кодексу України, пов’язаних з підготовкою та проведенням земельних торгів щодо земельних ділянок, визна</w:t>
      </w:r>
      <w:r w:rsidR="00F33566">
        <w:rPr>
          <w:rFonts w:ascii="Times New Roman" w:eastAsia="Times New Roman" w:hAnsi="Times New Roman"/>
          <w:sz w:val="28"/>
          <w:szCs w:val="20"/>
        </w:rPr>
        <w:t>чених у пункті 1 цього рішення</w:t>
      </w:r>
      <w:r w:rsidRPr="00667FD3">
        <w:rPr>
          <w:rFonts w:ascii="Times New Roman" w:eastAsia="Times New Roman" w:hAnsi="Times New Roman"/>
          <w:sz w:val="28"/>
          <w:szCs w:val="20"/>
        </w:rPr>
        <w:t>.</w:t>
      </w:r>
    </w:p>
    <w:p w:rsidR="00F33566" w:rsidRP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6.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A07B85" w:rsidRPr="00A07B85" w:rsidRDefault="00A07B85" w:rsidP="00A07B85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07B85" w:rsidRDefault="00A07B85" w:rsidP="00A07B85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A07B85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A07B85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:rsidR="00667FD3" w:rsidRPr="00667FD3" w:rsidRDefault="00667FD3" w:rsidP="00667FD3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lastRenderedPageBreak/>
        <w:t>Додаток 1</w:t>
      </w:r>
    </w:p>
    <w:p w:rsidR="00667FD3" w:rsidRPr="00667FD3" w:rsidRDefault="00667FD3" w:rsidP="00667FD3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>до рішення міської ради</w:t>
      </w:r>
    </w:p>
    <w:p w:rsidR="00667FD3" w:rsidRPr="00667FD3" w:rsidRDefault="00D61563" w:rsidP="00667FD3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832CEC">
        <w:rPr>
          <w:rFonts w:ascii="Times New Roman" w:eastAsia="Times New Roman" w:hAnsi="Times New Roman"/>
          <w:sz w:val="28"/>
          <w:szCs w:val="28"/>
        </w:rPr>
        <w:t>26.09.2024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№ ______</w:t>
      </w:r>
    </w:p>
    <w:p w:rsidR="00667FD3" w:rsidRPr="00667FD3" w:rsidRDefault="00667FD3" w:rsidP="00667FD3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B178D2" w:rsidRDefault="00667FD3" w:rsidP="00667FD3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Перелік 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r w:rsidR="00B178D2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 на них, які виставляються</w:t>
      </w:r>
    </w:p>
    <w:p w:rsidR="00667FD3" w:rsidRPr="00667FD3" w:rsidRDefault="00667FD3" w:rsidP="00667FD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на земельні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B178D2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</w:p>
    <w:p w:rsidR="00EA780F" w:rsidRPr="00A26997" w:rsidRDefault="00EA780F" w:rsidP="00EA780F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1543"/>
        <w:gridCol w:w="1068"/>
        <w:gridCol w:w="2373"/>
        <w:gridCol w:w="2449"/>
        <w:gridCol w:w="1592"/>
      </w:tblGrid>
      <w:tr w:rsidR="00EA780F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br/>
              <w:t>п/</w:t>
            </w:r>
            <w:proofErr w:type="spellStart"/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Розташування земельної ділянки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Площа земельної ділянки, га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Кадастровий номер</w:t>
            </w: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 xml:space="preserve"> земельної ділянки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Цільове призначення земельної ділянки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власності, користування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с.Яглуш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13,5440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2624481700:04:001:0022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3D6C2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3D6C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3D6C2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с.Долиняни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11,6971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2624482100:01:003:0086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с.Долиняни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19,7568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2624482100:01:003:0087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с.Путятинці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12,1586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2624485600:03:001:0035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с.Світанок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2,2500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2624486000:02:004:0153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99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с.Жовчів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4,6373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2624482200:05:001:0028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фермерського господарства</w:t>
            </w: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КВПЦЗ: 01.02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</w:tbl>
    <w:p w:rsidR="00EA780F" w:rsidRPr="00A26997" w:rsidRDefault="00EA780F" w:rsidP="00EA780F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A780F" w:rsidRPr="00A26997" w:rsidRDefault="00EA780F" w:rsidP="00EA780F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A780F" w:rsidRPr="00A26997" w:rsidRDefault="00DB1AEB" w:rsidP="00EA780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="00EA780F" w:rsidRPr="00A26997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sectPr w:rsidR="00EA780F" w:rsidRPr="00A26997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62" w:rsidRDefault="00731362">
      <w:r>
        <w:separator/>
      </w:r>
    </w:p>
  </w:endnote>
  <w:endnote w:type="continuationSeparator" w:id="0">
    <w:p w:rsidR="00731362" w:rsidRDefault="007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62" w:rsidRDefault="00731362">
      <w:r>
        <w:separator/>
      </w:r>
    </w:p>
  </w:footnote>
  <w:footnote w:type="continuationSeparator" w:id="0">
    <w:p w:rsidR="00731362" w:rsidRDefault="00731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4AEB"/>
    <w:rsid w:val="00041C24"/>
    <w:rsid w:val="00055DBE"/>
    <w:rsid w:val="0006295F"/>
    <w:rsid w:val="0006704C"/>
    <w:rsid w:val="000719F2"/>
    <w:rsid w:val="00075AA6"/>
    <w:rsid w:val="0007779D"/>
    <w:rsid w:val="00090E28"/>
    <w:rsid w:val="00097B67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37EC7"/>
    <w:rsid w:val="00141F09"/>
    <w:rsid w:val="001678B3"/>
    <w:rsid w:val="00170F88"/>
    <w:rsid w:val="00173EDC"/>
    <w:rsid w:val="00174382"/>
    <w:rsid w:val="00174445"/>
    <w:rsid w:val="001753D6"/>
    <w:rsid w:val="00175E84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54F4D"/>
    <w:rsid w:val="00256553"/>
    <w:rsid w:val="002566C0"/>
    <w:rsid w:val="00272766"/>
    <w:rsid w:val="002938F3"/>
    <w:rsid w:val="00294AC7"/>
    <w:rsid w:val="002B0C0A"/>
    <w:rsid w:val="002C1EC9"/>
    <w:rsid w:val="002D2FF1"/>
    <w:rsid w:val="002D3A80"/>
    <w:rsid w:val="002D7E13"/>
    <w:rsid w:val="002D7EDA"/>
    <w:rsid w:val="002E27D8"/>
    <w:rsid w:val="002E3042"/>
    <w:rsid w:val="002F1A4A"/>
    <w:rsid w:val="0031719E"/>
    <w:rsid w:val="00327F43"/>
    <w:rsid w:val="00331CB5"/>
    <w:rsid w:val="00344230"/>
    <w:rsid w:val="0034495B"/>
    <w:rsid w:val="0035329F"/>
    <w:rsid w:val="0035345B"/>
    <w:rsid w:val="003538F9"/>
    <w:rsid w:val="00357CC9"/>
    <w:rsid w:val="00376B6C"/>
    <w:rsid w:val="00390783"/>
    <w:rsid w:val="00391FD0"/>
    <w:rsid w:val="00394D82"/>
    <w:rsid w:val="003B42AB"/>
    <w:rsid w:val="003B464B"/>
    <w:rsid w:val="003B622C"/>
    <w:rsid w:val="003E3B24"/>
    <w:rsid w:val="003E520E"/>
    <w:rsid w:val="003F6ABC"/>
    <w:rsid w:val="004127EB"/>
    <w:rsid w:val="00460E21"/>
    <w:rsid w:val="004769F4"/>
    <w:rsid w:val="004862F1"/>
    <w:rsid w:val="004D5F43"/>
    <w:rsid w:val="004D74C5"/>
    <w:rsid w:val="004F72C7"/>
    <w:rsid w:val="00526640"/>
    <w:rsid w:val="00541A3E"/>
    <w:rsid w:val="00541F8C"/>
    <w:rsid w:val="00550AD7"/>
    <w:rsid w:val="00550BE1"/>
    <w:rsid w:val="00551F1F"/>
    <w:rsid w:val="00553ED0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67FD3"/>
    <w:rsid w:val="006717C1"/>
    <w:rsid w:val="0068275F"/>
    <w:rsid w:val="00686BF2"/>
    <w:rsid w:val="00686EEE"/>
    <w:rsid w:val="00693C5C"/>
    <w:rsid w:val="006955A1"/>
    <w:rsid w:val="006B5037"/>
    <w:rsid w:val="006D04AC"/>
    <w:rsid w:val="006D2FF7"/>
    <w:rsid w:val="006D61B0"/>
    <w:rsid w:val="006E34CA"/>
    <w:rsid w:val="006E6319"/>
    <w:rsid w:val="006E7593"/>
    <w:rsid w:val="006F44AE"/>
    <w:rsid w:val="0070196B"/>
    <w:rsid w:val="0072143D"/>
    <w:rsid w:val="00731362"/>
    <w:rsid w:val="007316AD"/>
    <w:rsid w:val="0073327D"/>
    <w:rsid w:val="0075179D"/>
    <w:rsid w:val="00757201"/>
    <w:rsid w:val="007638B8"/>
    <w:rsid w:val="00786E92"/>
    <w:rsid w:val="007A19F7"/>
    <w:rsid w:val="007B48CB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32CEC"/>
    <w:rsid w:val="008338F8"/>
    <w:rsid w:val="00852AE6"/>
    <w:rsid w:val="008554F6"/>
    <w:rsid w:val="00856E15"/>
    <w:rsid w:val="00886518"/>
    <w:rsid w:val="0089271F"/>
    <w:rsid w:val="00893B01"/>
    <w:rsid w:val="008B14ED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13F9"/>
    <w:rsid w:val="00902B66"/>
    <w:rsid w:val="00902ED6"/>
    <w:rsid w:val="0091058E"/>
    <w:rsid w:val="00911443"/>
    <w:rsid w:val="009306BB"/>
    <w:rsid w:val="00930EB0"/>
    <w:rsid w:val="009362C9"/>
    <w:rsid w:val="00942AA6"/>
    <w:rsid w:val="00944F20"/>
    <w:rsid w:val="00961498"/>
    <w:rsid w:val="00975118"/>
    <w:rsid w:val="00980524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A07B85"/>
    <w:rsid w:val="00A149DD"/>
    <w:rsid w:val="00A16B62"/>
    <w:rsid w:val="00A569AB"/>
    <w:rsid w:val="00A735F3"/>
    <w:rsid w:val="00A747AB"/>
    <w:rsid w:val="00A9168A"/>
    <w:rsid w:val="00A943EA"/>
    <w:rsid w:val="00AB11FD"/>
    <w:rsid w:val="00AD00C2"/>
    <w:rsid w:val="00AD3FC9"/>
    <w:rsid w:val="00AE064A"/>
    <w:rsid w:val="00AF3FE9"/>
    <w:rsid w:val="00B05425"/>
    <w:rsid w:val="00B07117"/>
    <w:rsid w:val="00B10918"/>
    <w:rsid w:val="00B16A5A"/>
    <w:rsid w:val="00B178D2"/>
    <w:rsid w:val="00B35A29"/>
    <w:rsid w:val="00B40396"/>
    <w:rsid w:val="00B40AC4"/>
    <w:rsid w:val="00B529FA"/>
    <w:rsid w:val="00B6292F"/>
    <w:rsid w:val="00B66069"/>
    <w:rsid w:val="00B80CA9"/>
    <w:rsid w:val="00B8176A"/>
    <w:rsid w:val="00B928FF"/>
    <w:rsid w:val="00B94E3F"/>
    <w:rsid w:val="00BA002C"/>
    <w:rsid w:val="00BA794A"/>
    <w:rsid w:val="00BB60F1"/>
    <w:rsid w:val="00BC05D5"/>
    <w:rsid w:val="00BC35A1"/>
    <w:rsid w:val="00BF1687"/>
    <w:rsid w:val="00C100FD"/>
    <w:rsid w:val="00C132B5"/>
    <w:rsid w:val="00C17487"/>
    <w:rsid w:val="00C17812"/>
    <w:rsid w:val="00C259D4"/>
    <w:rsid w:val="00C526C0"/>
    <w:rsid w:val="00C7687E"/>
    <w:rsid w:val="00CA0138"/>
    <w:rsid w:val="00CA14CA"/>
    <w:rsid w:val="00CA425C"/>
    <w:rsid w:val="00CB06F1"/>
    <w:rsid w:val="00CB5F77"/>
    <w:rsid w:val="00CC1948"/>
    <w:rsid w:val="00CE2544"/>
    <w:rsid w:val="00D36EF3"/>
    <w:rsid w:val="00D42A61"/>
    <w:rsid w:val="00D434D7"/>
    <w:rsid w:val="00D5227D"/>
    <w:rsid w:val="00D61563"/>
    <w:rsid w:val="00D71D23"/>
    <w:rsid w:val="00D816EB"/>
    <w:rsid w:val="00DA1DA1"/>
    <w:rsid w:val="00DA7E0B"/>
    <w:rsid w:val="00DB1AEB"/>
    <w:rsid w:val="00DB308F"/>
    <w:rsid w:val="00DB31D4"/>
    <w:rsid w:val="00DB33AC"/>
    <w:rsid w:val="00DC5224"/>
    <w:rsid w:val="00DD0421"/>
    <w:rsid w:val="00DD1285"/>
    <w:rsid w:val="00E0023E"/>
    <w:rsid w:val="00E12FA2"/>
    <w:rsid w:val="00E143C0"/>
    <w:rsid w:val="00E1550A"/>
    <w:rsid w:val="00E16735"/>
    <w:rsid w:val="00E22A65"/>
    <w:rsid w:val="00E61206"/>
    <w:rsid w:val="00E718F5"/>
    <w:rsid w:val="00E8416C"/>
    <w:rsid w:val="00E85C47"/>
    <w:rsid w:val="00E86C69"/>
    <w:rsid w:val="00E9509C"/>
    <w:rsid w:val="00EA780F"/>
    <w:rsid w:val="00EB045E"/>
    <w:rsid w:val="00EB79A4"/>
    <w:rsid w:val="00ED7E9D"/>
    <w:rsid w:val="00EE0002"/>
    <w:rsid w:val="00EE41B6"/>
    <w:rsid w:val="00EE63F5"/>
    <w:rsid w:val="00EF7435"/>
    <w:rsid w:val="00F044F4"/>
    <w:rsid w:val="00F33566"/>
    <w:rsid w:val="00F35893"/>
    <w:rsid w:val="00F40EEB"/>
    <w:rsid w:val="00F43F79"/>
    <w:rsid w:val="00F55003"/>
    <w:rsid w:val="00F620AB"/>
    <w:rsid w:val="00F6624F"/>
    <w:rsid w:val="00F94FBB"/>
    <w:rsid w:val="00FA60D5"/>
    <w:rsid w:val="00FB25E0"/>
    <w:rsid w:val="00FD26BF"/>
    <w:rsid w:val="00FE4B25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3CA2-1620-4459-809C-9EDBD088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141</cp:revision>
  <cp:lastPrinted>2024-09-20T06:05:00Z</cp:lastPrinted>
  <dcterms:created xsi:type="dcterms:W3CDTF">2015-03-22T10:03:00Z</dcterms:created>
  <dcterms:modified xsi:type="dcterms:W3CDTF">2024-09-23T05:13:00Z</dcterms:modified>
</cp:coreProperties>
</file>