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4E246F" w:rsidRPr="00925A85" w:rsidRDefault="002E1CAA" w:rsidP="00925A85">
      <w:pPr>
        <w:pStyle w:val="a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97C7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Предмет закупівлі:</w:t>
      </w:r>
      <w:r w:rsidR="006F634D" w:rsidRPr="00D97C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5A85" w:rsidRPr="00925A85">
        <w:rPr>
          <w:rFonts w:ascii="Times New Roman" w:hAnsi="Times New Roman"/>
          <w:sz w:val="24"/>
          <w:szCs w:val="24"/>
          <w:lang w:val="uk-UA"/>
        </w:rPr>
        <w:t xml:space="preserve">Монокуляр нічного бачення </w:t>
      </w:r>
      <w:r w:rsidR="00925A85" w:rsidRPr="00925A8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AGM</w:t>
      </w:r>
      <w:r w:rsidR="00925A85" w:rsidRPr="00925A8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="00925A85" w:rsidRPr="00925A8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PVS</w:t>
      </w:r>
      <w:r w:rsidR="00925A85" w:rsidRPr="00925A8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-14 </w:t>
      </w:r>
      <w:r w:rsidR="00925A85" w:rsidRPr="00925A8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NW</w:t>
      </w:r>
      <w:r w:rsidR="00925A85" w:rsidRPr="00925A8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1  </w:t>
      </w:r>
      <w:r w:rsidR="00925A85" w:rsidRPr="00925A85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proofErr w:type="spellStart"/>
      <w:r w:rsidR="00925A85" w:rsidRPr="00925A85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925A85" w:rsidRPr="00925A85">
        <w:rPr>
          <w:rFonts w:ascii="Times New Roman" w:hAnsi="Times New Roman"/>
          <w:sz w:val="24"/>
          <w:szCs w:val="24"/>
          <w:lang w:val="uk-UA"/>
        </w:rPr>
        <w:t xml:space="preserve"> 021:2015 38630000-0 «Астрономічні та оптичні прилади» (номенклатурна позиція </w:t>
      </w:r>
      <w:proofErr w:type="spellStart"/>
      <w:r w:rsidR="00925A85" w:rsidRPr="00925A85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925A85" w:rsidRPr="00925A85">
        <w:rPr>
          <w:rFonts w:ascii="Times New Roman" w:hAnsi="Times New Roman"/>
          <w:sz w:val="24"/>
          <w:szCs w:val="24"/>
          <w:lang w:val="uk-UA"/>
        </w:rPr>
        <w:t xml:space="preserve"> 021:2015 38632000-4 «Прилади нічного бачення»)</w:t>
      </w: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6F63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925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8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.04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6F634D" w:rsidRPr="006F634D">
        <w:t>UA-</w:t>
      </w:r>
      <w:r w:rsidR="00BB6A8A" w:rsidRPr="00BB6A8A">
        <w:t xml:space="preserve"> </w:t>
      </w:r>
      <w:r w:rsidR="002605DC" w:rsidRPr="002605DC">
        <w:t>2024-04-18-009589-a</w:t>
      </w:r>
    </w:p>
    <w:p w:rsidR="00543529" w:rsidRPr="00E200AF" w:rsidRDefault="002C40EF" w:rsidP="00E200AF">
      <w:pPr>
        <w:pStyle w:val="a6"/>
        <w:ind w:firstLine="709"/>
        <w:jc w:val="both"/>
        <w:rPr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>:</w:t>
      </w:r>
      <w:r w:rsidR="00543529">
        <w:rPr>
          <w:i/>
          <w:iCs/>
          <w:sz w:val="22"/>
          <w:szCs w:val="22"/>
          <w:lang w:val="uk-UA"/>
        </w:rPr>
        <w:t xml:space="preserve"> </w:t>
      </w:r>
      <w:r w:rsidR="00543529" w:rsidRPr="00543529">
        <w:rPr>
          <w:iCs/>
          <w:sz w:val="22"/>
          <w:szCs w:val="22"/>
          <w:lang w:val="uk-UA"/>
        </w:rPr>
        <w:t>З</w:t>
      </w:r>
      <w:r w:rsidR="00062B3D" w:rsidRPr="00543529">
        <w:rPr>
          <w:iCs/>
          <w:sz w:val="22"/>
          <w:szCs w:val="22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543529">
        <w:rPr>
          <w:rFonts w:ascii="Arial" w:hAnsi="Arial" w:cs="Arial"/>
          <w:color w:val="454545"/>
          <w:sz w:val="17"/>
          <w:szCs w:val="17"/>
        </w:rPr>
        <w:t xml:space="preserve"> 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tbl>
      <w:tblPr>
        <w:tblW w:w="9913" w:type="dxa"/>
        <w:tblCellMar>
          <w:left w:w="10" w:type="dxa"/>
          <w:right w:w="10" w:type="dxa"/>
        </w:tblCellMar>
        <w:tblLook w:val="04A0"/>
      </w:tblPr>
      <w:tblGrid>
        <w:gridCol w:w="3898"/>
        <w:gridCol w:w="6015"/>
      </w:tblGrid>
      <w:tr w:rsidR="00B00F48" w:rsidTr="00AF39EB">
        <w:trPr>
          <w:trHeight w:val="284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Default="00B00F48" w:rsidP="00AF39EB">
            <w:pPr>
              <w:jc w:val="center"/>
              <w:textAlignment w:val="baseline"/>
              <w:outlineLvl w:val="1"/>
            </w:pPr>
            <w:r w:rsidRPr="00691CFA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Монокуляр нічного бачення AGM PVS-14 NW1  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Default="00B00F48" w:rsidP="00AF39EB">
            <w:pPr>
              <w:pStyle w:val="af"/>
              <w:spacing w:before="0" w:after="0"/>
              <w:jc w:val="center"/>
            </w:pPr>
            <w:proofErr w:type="spellStart"/>
            <w:r>
              <w:rPr>
                <w:rStyle w:val="ae"/>
                <w:rFonts w:eastAsia="Arial"/>
                <w:b/>
              </w:rPr>
              <w:t>Параметри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Default="00B00F48" w:rsidP="00AF39EB">
            <w:pPr>
              <w:pStyle w:val="af"/>
              <w:spacing w:before="0" w:after="0"/>
              <w:jc w:val="center"/>
            </w:pPr>
            <w:proofErr w:type="spellStart"/>
            <w:r>
              <w:rPr>
                <w:rStyle w:val="ae"/>
                <w:rFonts w:eastAsia="Arial"/>
                <w:b/>
              </w:rPr>
              <w:t>Вимоги</w:t>
            </w:r>
            <w:proofErr w:type="spellEnd"/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ЕОП</w:t>
            </w:r>
            <w:r w:rsidRPr="00981511">
              <w:rPr>
                <w:sz w:val="24"/>
                <w:szCs w:val="24"/>
                <w:lang w:val="en-US"/>
              </w:rPr>
              <w:t xml:space="preserve"> (</w:t>
            </w:r>
            <w:r w:rsidRPr="00981511">
              <w:rPr>
                <w:sz w:val="24"/>
                <w:szCs w:val="24"/>
              </w:rPr>
              <w:t>електронно-оптичний перетворювач)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pStyle w:val="af0"/>
              <w:rPr>
                <w:rFonts w:cs="Times New Roman"/>
                <w:szCs w:val="24"/>
              </w:rPr>
            </w:pPr>
            <w:proofErr w:type="spellStart"/>
            <w:r w:rsidRPr="00981511">
              <w:rPr>
                <w:szCs w:val="24"/>
              </w:rPr>
              <w:t>Gen</w:t>
            </w:r>
            <w:proofErr w:type="spellEnd"/>
            <w:r w:rsidRPr="00981511">
              <w:rPr>
                <w:szCs w:val="24"/>
              </w:rPr>
              <w:t xml:space="preserve"> </w:t>
            </w:r>
            <w:r w:rsidRPr="00981511">
              <w:rPr>
                <w:szCs w:val="24"/>
                <w:lang w:val="en-US"/>
              </w:rPr>
              <w:t>2+</w:t>
            </w:r>
            <w:r w:rsidRPr="00981511">
              <w:rPr>
                <w:szCs w:val="24"/>
              </w:rPr>
              <w:t>(білий фосфор)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Роздільна здатність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jc w:val="both"/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  <w:lang w:val="ru-RU"/>
              </w:rPr>
              <w:t>51</w:t>
            </w:r>
            <w:r w:rsidRPr="00981511">
              <w:rPr>
                <w:sz w:val="24"/>
                <w:szCs w:val="24"/>
              </w:rPr>
              <w:t>-</w:t>
            </w:r>
            <w:r w:rsidRPr="00981511">
              <w:rPr>
                <w:sz w:val="24"/>
                <w:szCs w:val="24"/>
                <w:lang w:val="ru-RU"/>
              </w:rPr>
              <w:t>64</w:t>
            </w:r>
            <w:proofErr w:type="spellStart"/>
            <w:r w:rsidRPr="00981511">
              <w:rPr>
                <w:sz w:val="24"/>
                <w:szCs w:val="24"/>
              </w:rPr>
              <w:t>штр</w:t>
            </w:r>
            <w:proofErr w:type="spellEnd"/>
            <w:r w:rsidRPr="00981511">
              <w:rPr>
                <w:sz w:val="24"/>
                <w:szCs w:val="24"/>
              </w:rPr>
              <w:t>/мм (штрихів на міліметр)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Чистота поля зору по зонах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981511">
              <w:rPr>
                <w:sz w:val="24"/>
                <w:szCs w:val="24"/>
              </w:rPr>
              <w:t>Gen</w:t>
            </w:r>
            <w:proofErr w:type="spellEnd"/>
            <w:r w:rsidRPr="00981511">
              <w:rPr>
                <w:sz w:val="24"/>
                <w:szCs w:val="24"/>
              </w:rPr>
              <w:t xml:space="preserve"> 2 IIT </w:t>
            </w:r>
            <w:r w:rsidRPr="00981511">
              <w:rPr>
                <w:sz w:val="24"/>
                <w:szCs w:val="24"/>
                <w:lang w:val="en-US"/>
              </w:rPr>
              <w:t>NL</w:t>
            </w:r>
            <w:r w:rsidRPr="00981511">
              <w:rPr>
                <w:sz w:val="24"/>
                <w:szCs w:val="24"/>
              </w:rPr>
              <w:t>1  Рівень 1 мало видимих плям.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Збільшення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jc w:val="both"/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1x (3х та 5х опція)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Система лінз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jc w:val="both"/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26 мм; F/ 1,2</w:t>
            </w:r>
          </w:p>
        </w:tc>
      </w:tr>
      <w:tr w:rsidR="00B00F48" w:rsidRPr="004321FB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981511">
              <w:rPr>
                <w:sz w:val="24"/>
                <w:szCs w:val="24"/>
              </w:rPr>
              <w:t>FOV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jc w:val="both"/>
              <w:rPr>
                <w:bCs/>
                <w:sz w:val="24"/>
                <w:szCs w:val="24"/>
              </w:rPr>
            </w:pPr>
            <w:r w:rsidRPr="003A7F0A">
              <w:t>40°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sz w:val="24"/>
                <w:szCs w:val="24"/>
              </w:rPr>
            </w:pPr>
            <w:r w:rsidRPr="003A7F0A">
              <w:t>Діапазон фокусування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pStyle w:val="af0"/>
              <w:rPr>
                <w:rFonts w:cs="Times New Roman"/>
                <w:szCs w:val="24"/>
              </w:rPr>
            </w:pPr>
            <w:r w:rsidRPr="003A7F0A">
              <w:t>0,25 м до нескінченності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Діоптрійне регулювання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3A7F0A" w:rsidRDefault="00B00F48" w:rsidP="00AF39EB">
            <w:r w:rsidRPr="003A7F0A">
              <w:t xml:space="preserve">від -6 до +4 </w:t>
            </w:r>
            <w:proofErr w:type="spellStart"/>
            <w:r w:rsidRPr="003A7F0A">
              <w:t>dpt</w:t>
            </w:r>
            <w:proofErr w:type="spellEnd"/>
            <w:r>
              <w:t xml:space="preserve">, або </w:t>
            </w:r>
            <w:r w:rsidRPr="003A7F0A">
              <w:t>від -6 до +</w:t>
            </w:r>
            <w:r>
              <w:t>2</w:t>
            </w:r>
            <w:r w:rsidRPr="003A7F0A">
              <w:t xml:space="preserve"> </w:t>
            </w:r>
            <w:proofErr w:type="spellStart"/>
            <w:r w:rsidRPr="003A7F0A">
              <w:t>dpt</w:t>
            </w:r>
            <w:proofErr w:type="spellEnd"/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3A7F0A" w:rsidRDefault="00B00F48" w:rsidP="00AF39EB">
            <w:proofErr w:type="spellStart"/>
            <w:r w:rsidRPr="003A7F0A">
              <w:t>Світлодіодні</w:t>
            </w:r>
            <w:proofErr w:type="spellEnd"/>
            <w:r w:rsidRPr="003A7F0A">
              <w:t xml:space="preserve"> індикатори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Низький заряд батареї; ІЧ увімкнено; Умови надмірного освітлення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981511" w:rsidRDefault="00B00F48" w:rsidP="00AF39EB">
            <w:pPr>
              <w:rPr>
                <w:sz w:val="24"/>
                <w:szCs w:val="24"/>
              </w:rPr>
            </w:pPr>
            <w:r w:rsidRPr="003A7F0A">
              <w:t>Автоматичне регулювання яскравості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201388" w:rsidRDefault="00B00F48" w:rsidP="00AF39EB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1388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lastRenderedPageBreak/>
              <w:t>Інфрачервоний освітлювач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так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3A7F0A" w:rsidRDefault="00B00F48" w:rsidP="00AF39EB">
            <w:r w:rsidRPr="003A7F0A">
              <w:t>Відключення яскравого світла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так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Система автоматичного відключення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так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Тип батареї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Одна лужна батарея AA 1,5 В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Термін служби батареї (робочий)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До 50 годин при 20°C</w:t>
            </w:r>
            <w:r>
              <w:t xml:space="preserve"> (не менше)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981511" w:rsidRDefault="00B00F48" w:rsidP="00AF39EB">
            <w:pPr>
              <w:rPr>
                <w:color w:val="000000"/>
                <w:sz w:val="24"/>
                <w:szCs w:val="24"/>
              </w:rPr>
            </w:pPr>
            <w:r w:rsidRPr="003A7F0A">
              <w:t>Діапазон робочих температур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C4190A" w:rsidRDefault="00B00F48" w:rsidP="00AF39EB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19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Pr="00C4190A">
              <w:rPr>
                <w:rFonts w:ascii="Times New Roman" w:hAnsi="Times New Roman"/>
                <w:sz w:val="28"/>
                <w:szCs w:val="28"/>
              </w:rPr>
              <w:t xml:space="preserve">-40°C, </w:t>
            </w:r>
            <w:proofErr w:type="spellStart"/>
            <w:r w:rsidRPr="00C4190A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C419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90A">
              <w:rPr>
                <w:rFonts w:ascii="Times New Roman" w:hAnsi="Times New Roman"/>
                <w:sz w:val="28"/>
                <w:szCs w:val="28"/>
              </w:rPr>
              <w:t>нижче</w:t>
            </w:r>
            <w:proofErr w:type="spellEnd"/>
            <w:r w:rsidRPr="00C4190A">
              <w:rPr>
                <w:rFonts w:ascii="Times New Roman" w:hAnsi="Times New Roman"/>
                <w:sz w:val="28"/>
                <w:szCs w:val="28"/>
              </w:rPr>
              <w:t xml:space="preserve"> до +49°C, </w:t>
            </w:r>
            <w:proofErr w:type="spellStart"/>
            <w:r w:rsidRPr="00C4190A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C419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90A">
              <w:rPr>
                <w:rFonts w:ascii="Times New Roman" w:hAnsi="Times New Roman"/>
                <w:sz w:val="28"/>
                <w:szCs w:val="28"/>
              </w:rPr>
              <w:t>вище</w:t>
            </w:r>
            <w:proofErr w:type="spellEnd"/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981511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Вага, г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981511" w:rsidRDefault="00B00F48" w:rsidP="00AF39EB">
            <w:pPr>
              <w:rPr>
                <w:color w:val="303030"/>
                <w:sz w:val="24"/>
                <w:szCs w:val="24"/>
                <w:shd w:val="clear" w:color="auto" w:fill="F7F7F7"/>
              </w:rPr>
            </w:pPr>
            <w:r>
              <w:t xml:space="preserve">Від </w:t>
            </w:r>
            <w:r w:rsidRPr="003A7F0A">
              <w:t>320</w:t>
            </w:r>
            <w:r>
              <w:t xml:space="preserve"> до 350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3A7F0A" w:rsidRDefault="00B00F48" w:rsidP="00AF39EB">
            <w:r w:rsidRPr="003A7F0A">
              <w:t>Габаритні розміри, мм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C4190A" w:rsidRDefault="00B00F48" w:rsidP="00AF39EB">
            <w:pPr>
              <w:pStyle w:val="ad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7F7F7"/>
              </w:rPr>
            </w:pPr>
            <w:r w:rsidRPr="00C4190A">
              <w:rPr>
                <w:rFonts w:ascii="Times New Roman" w:hAnsi="Times New Roman"/>
                <w:sz w:val="28"/>
                <w:szCs w:val="28"/>
              </w:rPr>
              <w:t>114 × 63 × 69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0E4DCB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Вага брутто, кг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0E4DCB" w:rsidRDefault="00B00F48" w:rsidP="00AF39EB">
            <w:pPr>
              <w:rPr>
                <w:color w:val="303030"/>
                <w:sz w:val="24"/>
                <w:szCs w:val="24"/>
                <w:shd w:val="clear" w:color="auto" w:fill="F7F7F7"/>
              </w:rPr>
            </w:pPr>
            <w:r w:rsidRPr="003A7F0A">
              <w:t>1,188</w:t>
            </w:r>
          </w:p>
        </w:tc>
      </w:tr>
      <w:tr w:rsidR="00B00F48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0E4DCB" w:rsidRDefault="00B00F48" w:rsidP="00AF39EB">
            <w:pPr>
              <w:rPr>
                <w:bCs/>
                <w:sz w:val="24"/>
                <w:szCs w:val="24"/>
              </w:rPr>
            </w:pPr>
            <w:r w:rsidRPr="003A7F0A">
              <w:t>Строк гарантії, міс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0E4DCB" w:rsidRDefault="00B00F48" w:rsidP="00AF39EB">
            <w:pPr>
              <w:rPr>
                <w:color w:val="303030"/>
                <w:sz w:val="24"/>
                <w:szCs w:val="24"/>
                <w:shd w:val="clear" w:color="auto" w:fill="F7F7F7"/>
              </w:rPr>
            </w:pPr>
            <w:r w:rsidRPr="003A7F0A">
              <w:t>12</w:t>
            </w:r>
            <w:r>
              <w:t xml:space="preserve"> (не менше)</w:t>
            </w:r>
          </w:p>
        </w:tc>
      </w:tr>
      <w:tr w:rsidR="00B00F48" w:rsidRPr="00EA493D" w:rsidTr="00AF39EB">
        <w:trPr>
          <w:trHeight w:val="28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F48" w:rsidRPr="00EA493D" w:rsidRDefault="00B00F48" w:rsidP="00AF39EB">
            <w:pPr>
              <w:rPr>
                <w:bCs/>
                <w:szCs w:val="28"/>
              </w:rPr>
            </w:pPr>
            <w:r w:rsidRPr="00EA493D">
              <w:rPr>
                <w:szCs w:val="28"/>
              </w:rPr>
              <w:t>Комплектація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F48" w:rsidRPr="00EA493D" w:rsidRDefault="00B00F48" w:rsidP="00AF39EB">
            <w:pPr>
              <w:pStyle w:val="ad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7F7F7"/>
                <w:lang w:val="uk-UA"/>
              </w:rPr>
            </w:pPr>
            <w:r w:rsidRPr="00EA4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Монокуляр нічного бачення, вузол кріплення на голову, накладка для брів, </w:t>
            </w:r>
            <w:proofErr w:type="spellStart"/>
            <w:r w:rsidRPr="00EA493D">
              <w:rPr>
                <w:rFonts w:ascii="Times New Roman" w:hAnsi="Times New Roman"/>
                <w:sz w:val="28"/>
                <w:szCs w:val="28"/>
                <w:lang w:val="uk-UA"/>
              </w:rPr>
              <w:t>наочн</w:t>
            </w:r>
            <w:bookmarkStart w:id="0" w:name="_GoBack"/>
            <w:bookmarkEnd w:id="0"/>
            <w:r w:rsidRPr="00EA493D">
              <w:rPr>
                <w:rFonts w:ascii="Times New Roman" w:hAnsi="Times New Roman"/>
                <w:sz w:val="28"/>
                <w:szCs w:val="28"/>
                <w:lang w:val="uk-UA"/>
              </w:rPr>
              <w:t>ик</w:t>
            </w:r>
            <w:proofErr w:type="spellEnd"/>
            <w:r w:rsidRPr="00EA493D">
              <w:rPr>
                <w:rFonts w:ascii="Times New Roman" w:hAnsi="Times New Roman"/>
                <w:sz w:val="28"/>
                <w:szCs w:val="28"/>
                <w:lang w:val="uk-UA"/>
              </w:rPr>
              <w:t>, адаптер для кріплення на шолом/голову, системний м’який чохол для транспортування, фільтр денного світла, плечовий ремінь, папір для об’єктива, кришка об’єктива з діоптріями,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жертов</w:t>
            </w:r>
            <w:r w:rsidRPr="00EA493D">
              <w:rPr>
                <w:rFonts w:ascii="Times New Roman" w:hAnsi="Times New Roman"/>
                <w:sz w:val="28"/>
                <w:szCs w:val="28"/>
                <w:lang w:val="uk-UA"/>
              </w:rPr>
              <w:t>не віконце, захист від запотівання, акумулятор, інструкція.</w:t>
            </w:r>
          </w:p>
        </w:tc>
      </w:tr>
    </w:tbl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B0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150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D804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0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сто </w:t>
      </w:r>
      <w:proofErr w:type="spellStart"/>
      <w:r w:rsidR="00B00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="00D804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’я</w:t>
      </w:r>
      <w:r w:rsidR="00B00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тдесять</w:t>
      </w:r>
      <w:proofErr w:type="spellEnd"/>
      <w:r w:rsidR="00B00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4546EA" w:rsidRPr="00B02850" w:rsidRDefault="004546EA" w:rsidP="004546EA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4546EA" w:rsidRDefault="004546EA" w:rsidP="004546EA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CD61D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uk-UA"/>
        </w:rPr>
        <w:t xml:space="preserve"> </w:t>
      </w: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 PL UMing HK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523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05DC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97F56"/>
    <w:rsid w:val="003A3EF8"/>
    <w:rsid w:val="003A5D98"/>
    <w:rsid w:val="003C1A32"/>
    <w:rsid w:val="003C60FB"/>
    <w:rsid w:val="003D18A2"/>
    <w:rsid w:val="003D4681"/>
    <w:rsid w:val="003D490B"/>
    <w:rsid w:val="003E1346"/>
    <w:rsid w:val="003F49A5"/>
    <w:rsid w:val="003F55DB"/>
    <w:rsid w:val="003F5E61"/>
    <w:rsid w:val="00401462"/>
    <w:rsid w:val="004311DF"/>
    <w:rsid w:val="004546EA"/>
    <w:rsid w:val="00454BB5"/>
    <w:rsid w:val="004622E4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43359"/>
    <w:rsid w:val="00543529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03F8"/>
    <w:rsid w:val="007934D2"/>
    <w:rsid w:val="00797B47"/>
    <w:rsid w:val="007C411F"/>
    <w:rsid w:val="007D491E"/>
    <w:rsid w:val="007E5B29"/>
    <w:rsid w:val="007E7F7F"/>
    <w:rsid w:val="007F0D4B"/>
    <w:rsid w:val="008110EC"/>
    <w:rsid w:val="0081149E"/>
    <w:rsid w:val="008208FE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25A85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AF4EE0"/>
    <w:rsid w:val="00B00E16"/>
    <w:rsid w:val="00B00F48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5221"/>
    <w:rsid w:val="00BB6A8A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D61DB"/>
    <w:rsid w:val="00CE6A11"/>
    <w:rsid w:val="00CF0A0C"/>
    <w:rsid w:val="00CF6775"/>
    <w:rsid w:val="00D1601C"/>
    <w:rsid w:val="00D373BE"/>
    <w:rsid w:val="00D80404"/>
    <w:rsid w:val="00D83573"/>
    <w:rsid w:val="00D94534"/>
    <w:rsid w:val="00D97C7F"/>
    <w:rsid w:val="00DA3AE1"/>
    <w:rsid w:val="00DB370F"/>
    <w:rsid w:val="00DC3395"/>
    <w:rsid w:val="00E06793"/>
    <w:rsid w:val="00E200AF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3D28"/>
    <w:rsid w:val="00ED66AD"/>
    <w:rsid w:val="00EF0277"/>
    <w:rsid w:val="00EF2B0A"/>
    <w:rsid w:val="00F1747B"/>
    <w:rsid w:val="00F243C7"/>
    <w:rsid w:val="00F25051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39"/>
    <w:rsid w:val="003D490B"/>
    <w:pPr>
      <w:spacing w:after="0" w:line="240" w:lineRule="auto"/>
    </w:pPr>
    <w:rPr>
      <w:rFonts w:ascii="Cambria" w:eastAsia="Cambria" w:hAnsi="Cambr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вичайний"/>
    <w:rsid w:val="00B00F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e">
    <w:name w:val="Шрифт абзацу за замовчуванням"/>
    <w:rsid w:val="00B00F48"/>
  </w:style>
  <w:style w:type="paragraph" w:customStyle="1" w:styleId="af">
    <w:name w:val="Звичайний (веб)"/>
    <w:basedOn w:val="ad"/>
    <w:rsid w:val="00B00F48"/>
    <w:pPr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Без інтервалів"/>
    <w:rsid w:val="00B00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Ming H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72FA-B3C8-4BA8-977E-70869C8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2656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367</cp:revision>
  <cp:lastPrinted>2024-04-16T11:59:00Z</cp:lastPrinted>
  <dcterms:created xsi:type="dcterms:W3CDTF">2022-11-03T12:06:00Z</dcterms:created>
  <dcterms:modified xsi:type="dcterms:W3CDTF">2024-04-18T12:45:00Z</dcterms:modified>
</cp:coreProperties>
</file>