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C8" w:rsidRPr="0095027C" w:rsidRDefault="00D31BB1">
      <w:pPr>
        <w:pStyle w:val="1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95027C">
        <w:rPr>
          <w:rFonts w:ascii="Times New Roman" w:eastAsia="Times New Roman" w:hAnsi="Times New Roman" w:cs="Times New Roman"/>
          <w:color w:val="000000"/>
          <w:sz w:val="28"/>
          <w:szCs w:val="28"/>
        </w:rPr>
        <w:t>ПОЯСНЮВАЛЬНА ЗАПИС</w:t>
      </w:r>
      <w:r w:rsidRPr="0095027C">
        <w:rPr>
          <w:rFonts w:ascii="Times New Roman" w:eastAsia="Times New Roman" w:hAnsi="Times New Roman" w:cs="Times New Roman"/>
          <w:color w:val="000000"/>
          <w:sz w:val="28"/>
          <w:szCs w:val="28"/>
          <w:lang w:val="uk-UA"/>
        </w:rPr>
        <w:t>КА</w:t>
      </w:r>
      <w:r w:rsidR="002763B0" w:rsidRPr="0095027C">
        <w:rPr>
          <w:rFonts w:ascii="Times New Roman" w:eastAsia="Times New Roman" w:hAnsi="Times New Roman" w:cs="Times New Roman"/>
          <w:color w:val="000000"/>
          <w:sz w:val="28"/>
          <w:szCs w:val="28"/>
        </w:rPr>
        <w:t xml:space="preserve"> </w:t>
      </w:r>
    </w:p>
    <w:p w:rsidR="00551BC8" w:rsidRPr="0095027C" w:rsidRDefault="002763B0">
      <w:pPr>
        <w:pStyle w:val="1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95027C">
        <w:rPr>
          <w:rFonts w:ascii="Times New Roman" w:eastAsia="Times New Roman" w:hAnsi="Times New Roman" w:cs="Times New Roman"/>
          <w:color w:val="000000"/>
          <w:sz w:val="28"/>
          <w:szCs w:val="28"/>
        </w:rPr>
        <w:t>д</w:t>
      </w:r>
      <w:r w:rsidR="0034157A" w:rsidRPr="0095027C">
        <w:rPr>
          <w:rFonts w:ascii="Times New Roman" w:eastAsia="Times New Roman" w:hAnsi="Times New Roman" w:cs="Times New Roman"/>
          <w:color w:val="000000"/>
          <w:sz w:val="28"/>
          <w:szCs w:val="28"/>
        </w:rPr>
        <w:t>о про</w:t>
      </w:r>
      <w:r w:rsidR="0034157A" w:rsidRPr="0095027C">
        <w:rPr>
          <w:rFonts w:ascii="Times New Roman" w:eastAsia="Times New Roman" w:hAnsi="Times New Roman" w:cs="Times New Roman"/>
          <w:color w:val="000000"/>
          <w:sz w:val="28"/>
          <w:szCs w:val="28"/>
          <w:lang w:val="uk-UA"/>
        </w:rPr>
        <w:t>є</w:t>
      </w:r>
      <w:r w:rsidR="0034157A" w:rsidRPr="0095027C">
        <w:rPr>
          <w:rFonts w:ascii="Times New Roman" w:eastAsia="Times New Roman" w:hAnsi="Times New Roman" w:cs="Times New Roman"/>
          <w:color w:val="000000"/>
          <w:sz w:val="28"/>
          <w:szCs w:val="28"/>
        </w:rPr>
        <w:t xml:space="preserve">кту рішення </w:t>
      </w:r>
      <w:r w:rsidR="0034157A" w:rsidRPr="0095027C">
        <w:rPr>
          <w:rFonts w:ascii="Times New Roman" w:eastAsia="Times New Roman" w:hAnsi="Times New Roman" w:cs="Times New Roman"/>
          <w:color w:val="000000"/>
          <w:sz w:val="28"/>
          <w:szCs w:val="28"/>
          <w:lang w:val="uk-UA"/>
        </w:rPr>
        <w:t xml:space="preserve">виконвчого комітету Рогатинської </w:t>
      </w:r>
      <w:r w:rsidR="0017088A" w:rsidRPr="0095027C">
        <w:rPr>
          <w:rFonts w:ascii="Times New Roman" w:eastAsia="Times New Roman" w:hAnsi="Times New Roman" w:cs="Times New Roman"/>
          <w:color w:val="000000"/>
          <w:sz w:val="28"/>
          <w:szCs w:val="28"/>
          <w:lang w:val="uk-UA"/>
        </w:rPr>
        <w:t>міської</w:t>
      </w:r>
      <w:r w:rsidRPr="0095027C">
        <w:rPr>
          <w:rFonts w:ascii="Times New Roman" w:eastAsia="Times New Roman" w:hAnsi="Times New Roman" w:cs="Times New Roman"/>
          <w:color w:val="000000"/>
          <w:sz w:val="28"/>
          <w:szCs w:val="28"/>
        </w:rPr>
        <w:t xml:space="preserve"> ради </w:t>
      </w:r>
    </w:p>
    <w:p w:rsidR="0034157A" w:rsidRPr="0095027C" w:rsidRDefault="0053558C" w:rsidP="0034157A">
      <w:pPr>
        <w:jc w:val="both"/>
        <w:rPr>
          <w:rFonts w:ascii="Times New Roman" w:hAnsi="Times New Roman" w:cs="Times New Roman"/>
          <w:sz w:val="28"/>
          <w:szCs w:val="28"/>
          <w:lang w:val="uk-UA" w:eastAsia="en-US"/>
        </w:rPr>
      </w:pPr>
      <w:r w:rsidRPr="0095027C">
        <w:rPr>
          <w:rFonts w:ascii="Times New Roman" w:hAnsi="Times New Roman" w:cs="Times New Roman"/>
          <w:sz w:val="28"/>
          <w:szCs w:val="28"/>
          <w:lang w:eastAsia="en-US"/>
        </w:rPr>
        <w:t xml:space="preserve">      </w:t>
      </w:r>
      <w:r w:rsidR="0034157A" w:rsidRPr="0095027C">
        <w:rPr>
          <w:rFonts w:ascii="Times New Roman" w:hAnsi="Times New Roman" w:cs="Times New Roman"/>
          <w:sz w:val="28"/>
          <w:szCs w:val="28"/>
          <w:lang w:val="uk-UA" w:eastAsia="en-US"/>
        </w:rPr>
        <w:t>«Звіт про виконання  бюджету  Рогатинської  міської територіальної</w:t>
      </w:r>
    </w:p>
    <w:p w:rsidR="0053558C" w:rsidRPr="0095027C" w:rsidRDefault="002B2D96" w:rsidP="0034157A">
      <w:pPr>
        <w:jc w:val="center"/>
        <w:rPr>
          <w:rFonts w:ascii="Times New Roman" w:hAnsi="Times New Roman" w:cs="Times New Roman"/>
          <w:sz w:val="28"/>
          <w:szCs w:val="28"/>
          <w:lang w:val="uk-UA" w:eastAsia="en-US"/>
        </w:rPr>
      </w:pPr>
      <w:r w:rsidRPr="0095027C">
        <w:rPr>
          <w:rFonts w:ascii="Times New Roman" w:hAnsi="Times New Roman" w:cs="Times New Roman"/>
          <w:sz w:val="28"/>
          <w:szCs w:val="28"/>
          <w:lang w:val="uk-UA" w:eastAsia="en-US"/>
        </w:rPr>
        <w:t xml:space="preserve">громади </w:t>
      </w:r>
      <w:r w:rsidR="00D83505" w:rsidRPr="0095027C">
        <w:rPr>
          <w:rStyle w:val="a6"/>
          <w:rFonts w:ascii="Times New Roman" w:hAnsi="Times New Roman" w:cs="Times New Roman"/>
          <w:b w:val="0"/>
          <w:color w:val="000000"/>
          <w:sz w:val="28"/>
          <w:szCs w:val="28"/>
          <w:lang w:val="uk-UA"/>
        </w:rPr>
        <w:t xml:space="preserve">за </w:t>
      </w:r>
      <w:r w:rsidR="007A4C2A" w:rsidRPr="0095027C">
        <w:rPr>
          <w:rStyle w:val="a6"/>
          <w:rFonts w:ascii="Times New Roman" w:hAnsi="Times New Roman" w:cs="Times New Roman"/>
          <w:b w:val="0"/>
          <w:color w:val="000000"/>
          <w:sz w:val="28"/>
          <w:szCs w:val="28"/>
          <w:lang w:val="uk-UA"/>
        </w:rPr>
        <w:t xml:space="preserve"> </w:t>
      </w:r>
      <w:r w:rsidR="00611CAC" w:rsidRPr="0095027C">
        <w:rPr>
          <w:rStyle w:val="a6"/>
          <w:rFonts w:ascii="Times New Roman" w:hAnsi="Times New Roman" w:cs="Times New Roman"/>
          <w:b w:val="0"/>
          <w:color w:val="000000"/>
          <w:sz w:val="28"/>
          <w:szCs w:val="28"/>
          <w:lang w:val="uk-UA"/>
        </w:rPr>
        <w:t>202</w:t>
      </w:r>
      <w:r w:rsidR="00FE7CCE" w:rsidRPr="0095027C">
        <w:rPr>
          <w:rStyle w:val="a6"/>
          <w:rFonts w:ascii="Times New Roman" w:hAnsi="Times New Roman" w:cs="Times New Roman"/>
          <w:b w:val="0"/>
          <w:color w:val="000000"/>
          <w:sz w:val="28"/>
          <w:szCs w:val="28"/>
          <w:lang w:val="uk-UA"/>
        </w:rPr>
        <w:t>3</w:t>
      </w:r>
      <w:r w:rsidR="00611CAC" w:rsidRPr="0095027C">
        <w:rPr>
          <w:rStyle w:val="a6"/>
          <w:rFonts w:ascii="Times New Roman" w:hAnsi="Times New Roman" w:cs="Times New Roman"/>
          <w:b w:val="0"/>
          <w:color w:val="000000"/>
          <w:sz w:val="28"/>
          <w:szCs w:val="28"/>
          <w:lang w:val="uk-UA"/>
        </w:rPr>
        <w:t xml:space="preserve"> р</w:t>
      </w:r>
      <w:r w:rsidR="00AA00C4" w:rsidRPr="0095027C">
        <w:rPr>
          <w:rStyle w:val="a6"/>
          <w:rFonts w:ascii="Times New Roman" w:hAnsi="Times New Roman" w:cs="Times New Roman"/>
          <w:b w:val="0"/>
          <w:color w:val="000000"/>
          <w:sz w:val="28"/>
          <w:szCs w:val="28"/>
          <w:lang w:val="uk-UA"/>
        </w:rPr>
        <w:t>ік</w:t>
      </w:r>
      <w:r w:rsidR="0034157A" w:rsidRPr="0095027C">
        <w:rPr>
          <w:rFonts w:ascii="Times New Roman" w:hAnsi="Times New Roman" w:cs="Times New Roman"/>
          <w:sz w:val="28"/>
          <w:szCs w:val="28"/>
          <w:lang w:val="uk-UA" w:eastAsia="en-US"/>
        </w:rPr>
        <w:t>»</w:t>
      </w:r>
    </w:p>
    <w:p w:rsidR="00551BC8" w:rsidRPr="0095027C" w:rsidRDefault="002763B0" w:rsidP="00BB4475">
      <w:pPr>
        <w:pStyle w:val="10"/>
        <w:widowControl w:val="0"/>
        <w:pBdr>
          <w:top w:val="nil"/>
          <w:left w:val="nil"/>
          <w:bottom w:val="nil"/>
          <w:right w:val="nil"/>
          <w:between w:val="nil"/>
        </w:pBdr>
        <w:spacing w:before="130" w:line="240" w:lineRule="auto"/>
        <w:ind w:left="725"/>
        <w:jc w:val="center"/>
        <w:rPr>
          <w:rFonts w:ascii="Times New Roman" w:eastAsia="Times New Roman" w:hAnsi="Times New Roman" w:cs="Times New Roman"/>
          <w:b/>
          <w:color w:val="000000"/>
          <w:sz w:val="28"/>
          <w:szCs w:val="28"/>
          <w:lang w:val="uk-UA"/>
        </w:rPr>
      </w:pPr>
      <w:r w:rsidRPr="0095027C">
        <w:rPr>
          <w:rFonts w:ascii="Times New Roman" w:eastAsia="Times New Roman" w:hAnsi="Times New Roman" w:cs="Times New Roman"/>
          <w:b/>
          <w:color w:val="000000"/>
          <w:sz w:val="28"/>
          <w:szCs w:val="28"/>
          <w:lang w:val="uk-UA"/>
        </w:rPr>
        <w:t>1. Обґрунтування необхідності прийняття рішення.</w:t>
      </w:r>
    </w:p>
    <w:p w:rsidR="00C317E1" w:rsidRPr="0095027C" w:rsidRDefault="00C317E1" w:rsidP="00617559">
      <w:pPr>
        <w:jc w:val="both"/>
        <w:rPr>
          <w:rFonts w:ascii="Times New Roman" w:eastAsia="Times New Roman" w:hAnsi="Times New Roman" w:cs="Times New Roman"/>
          <w:color w:val="000000"/>
          <w:sz w:val="28"/>
          <w:szCs w:val="28"/>
          <w:lang w:val="uk-UA"/>
        </w:rPr>
      </w:pPr>
      <w:r w:rsidRPr="0095027C">
        <w:rPr>
          <w:rFonts w:ascii="Times New Roman" w:eastAsia="Times New Roman" w:hAnsi="Times New Roman" w:cs="Times New Roman"/>
          <w:color w:val="000000"/>
          <w:sz w:val="28"/>
          <w:szCs w:val="28"/>
          <w:lang w:val="uk-UA"/>
        </w:rPr>
        <w:t xml:space="preserve">      </w:t>
      </w:r>
      <w:r w:rsidR="00617559" w:rsidRPr="0095027C">
        <w:rPr>
          <w:rFonts w:ascii="Times New Roman" w:eastAsia="Times New Roman" w:hAnsi="Times New Roman" w:cs="Times New Roman"/>
          <w:color w:val="000000"/>
          <w:sz w:val="28"/>
          <w:szCs w:val="28"/>
          <w:lang w:val="uk-UA"/>
        </w:rPr>
        <w:t>Підготовка проєкт</w:t>
      </w:r>
      <w:r w:rsidR="00112DF9" w:rsidRPr="0095027C">
        <w:rPr>
          <w:rFonts w:ascii="Times New Roman" w:eastAsia="Times New Roman" w:hAnsi="Times New Roman" w:cs="Times New Roman"/>
          <w:color w:val="000000"/>
          <w:sz w:val="28"/>
          <w:szCs w:val="28"/>
          <w:lang w:val="uk-UA"/>
        </w:rPr>
        <w:t>у</w:t>
      </w:r>
      <w:r w:rsidR="00617559" w:rsidRPr="0095027C">
        <w:rPr>
          <w:rFonts w:ascii="Times New Roman" w:eastAsia="Times New Roman" w:hAnsi="Times New Roman" w:cs="Times New Roman"/>
          <w:color w:val="000000"/>
          <w:sz w:val="28"/>
          <w:szCs w:val="28"/>
          <w:lang w:val="uk-UA"/>
        </w:rPr>
        <w:t xml:space="preserve"> рішення виконавчого комітету Рогатинської міської ради</w:t>
      </w:r>
      <w:r w:rsidR="00432FBE" w:rsidRPr="0095027C">
        <w:rPr>
          <w:rFonts w:ascii="Times New Roman" w:eastAsia="Times New Roman" w:hAnsi="Times New Roman" w:cs="Times New Roman"/>
          <w:color w:val="000000"/>
          <w:sz w:val="28"/>
          <w:szCs w:val="28"/>
          <w:lang w:val="uk-UA"/>
        </w:rPr>
        <w:t>- це</w:t>
      </w:r>
      <w:r w:rsidR="00432FBE" w:rsidRPr="0095027C">
        <w:rPr>
          <w:sz w:val="28"/>
          <w:szCs w:val="28"/>
          <w:lang w:val="uk-UA"/>
        </w:rPr>
        <w:t xml:space="preserve"> </w:t>
      </w:r>
      <w:r w:rsidR="00432FBE" w:rsidRPr="0095027C">
        <w:rPr>
          <w:rFonts w:ascii="Times New Roman" w:eastAsia="Times New Roman" w:hAnsi="Times New Roman" w:cs="Times New Roman"/>
          <w:color w:val="000000"/>
          <w:sz w:val="28"/>
          <w:szCs w:val="28"/>
          <w:lang w:val="uk-UA"/>
        </w:rPr>
        <w:t>забезпечення дотримання вимог бюджетного законодавства.</w:t>
      </w:r>
      <w:r w:rsidR="00617559" w:rsidRPr="0095027C">
        <w:rPr>
          <w:rFonts w:ascii="Times New Roman" w:eastAsia="Times New Roman" w:hAnsi="Times New Roman" w:cs="Times New Roman"/>
          <w:color w:val="000000"/>
          <w:sz w:val="28"/>
          <w:szCs w:val="28"/>
          <w:lang w:val="uk-UA"/>
        </w:rPr>
        <w:t xml:space="preserve"> </w:t>
      </w:r>
      <w:r w:rsidR="00432FBE" w:rsidRPr="0095027C">
        <w:rPr>
          <w:rFonts w:ascii="Times New Roman" w:eastAsia="Times New Roman" w:hAnsi="Times New Roman" w:cs="Times New Roman"/>
          <w:color w:val="000000"/>
          <w:sz w:val="28"/>
          <w:szCs w:val="28"/>
          <w:lang w:val="uk-UA"/>
        </w:rPr>
        <w:t xml:space="preserve">Проєкт рішення </w:t>
      </w:r>
      <w:r w:rsidR="00617559" w:rsidRPr="0095027C">
        <w:rPr>
          <w:rFonts w:ascii="Times New Roman" w:eastAsia="Times New Roman" w:hAnsi="Times New Roman" w:cs="Times New Roman"/>
          <w:color w:val="000000"/>
          <w:sz w:val="28"/>
          <w:szCs w:val="28"/>
          <w:lang w:val="uk-UA"/>
        </w:rPr>
        <w:t>підготовлено відповідно до ст. 28,</w:t>
      </w:r>
      <w:r w:rsidR="008F2FE0" w:rsidRPr="0095027C">
        <w:rPr>
          <w:rFonts w:ascii="Times New Roman" w:eastAsia="Times New Roman" w:hAnsi="Times New Roman" w:cs="Times New Roman"/>
          <w:color w:val="000000"/>
          <w:sz w:val="28"/>
          <w:szCs w:val="28"/>
        </w:rPr>
        <w:t xml:space="preserve"> </w:t>
      </w:r>
      <w:r w:rsidR="00617559" w:rsidRPr="0095027C">
        <w:rPr>
          <w:rFonts w:ascii="Times New Roman" w:eastAsia="Times New Roman" w:hAnsi="Times New Roman" w:cs="Times New Roman"/>
          <w:color w:val="000000"/>
          <w:sz w:val="28"/>
          <w:szCs w:val="28"/>
          <w:lang w:val="uk-UA"/>
        </w:rPr>
        <w:t xml:space="preserve">52 Закону України «Про місцеве самоврядування </w:t>
      </w:r>
      <w:r w:rsidR="00112DF9" w:rsidRPr="0095027C">
        <w:rPr>
          <w:rFonts w:ascii="Times New Roman" w:eastAsia="Times New Roman" w:hAnsi="Times New Roman" w:cs="Times New Roman"/>
          <w:color w:val="000000"/>
          <w:sz w:val="28"/>
          <w:szCs w:val="28"/>
          <w:lang w:val="uk-UA"/>
        </w:rPr>
        <w:t xml:space="preserve">в Україні» </w:t>
      </w:r>
      <w:r w:rsidR="00617559" w:rsidRPr="0095027C">
        <w:rPr>
          <w:rFonts w:ascii="Times New Roman" w:eastAsia="Times New Roman" w:hAnsi="Times New Roman" w:cs="Times New Roman"/>
          <w:color w:val="000000"/>
          <w:sz w:val="28"/>
          <w:szCs w:val="28"/>
          <w:lang w:val="uk-UA"/>
        </w:rPr>
        <w:t xml:space="preserve"> ст.14,</w:t>
      </w:r>
      <w:r w:rsidR="008F2FE0" w:rsidRPr="0095027C">
        <w:rPr>
          <w:rFonts w:ascii="Times New Roman" w:eastAsia="Times New Roman" w:hAnsi="Times New Roman" w:cs="Times New Roman"/>
          <w:color w:val="000000"/>
          <w:sz w:val="28"/>
          <w:szCs w:val="28"/>
        </w:rPr>
        <w:t xml:space="preserve"> </w:t>
      </w:r>
      <w:r w:rsidR="00617559" w:rsidRPr="0095027C">
        <w:rPr>
          <w:rFonts w:ascii="Times New Roman" w:eastAsia="Times New Roman" w:hAnsi="Times New Roman" w:cs="Times New Roman"/>
          <w:color w:val="000000"/>
          <w:sz w:val="28"/>
          <w:szCs w:val="28"/>
          <w:lang w:val="uk-UA"/>
        </w:rPr>
        <w:t>72,</w:t>
      </w:r>
      <w:r w:rsidR="008F2FE0" w:rsidRPr="0095027C">
        <w:rPr>
          <w:rFonts w:ascii="Times New Roman" w:eastAsia="Times New Roman" w:hAnsi="Times New Roman" w:cs="Times New Roman"/>
          <w:color w:val="000000"/>
          <w:sz w:val="28"/>
          <w:szCs w:val="28"/>
        </w:rPr>
        <w:t xml:space="preserve"> </w:t>
      </w:r>
      <w:r w:rsidR="00617559" w:rsidRPr="0095027C">
        <w:rPr>
          <w:rFonts w:ascii="Times New Roman" w:eastAsia="Times New Roman" w:hAnsi="Times New Roman" w:cs="Times New Roman"/>
          <w:color w:val="000000"/>
          <w:sz w:val="28"/>
          <w:szCs w:val="28"/>
          <w:lang w:val="uk-UA"/>
        </w:rPr>
        <w:t>78,</w:t>
      </w:r>
      <w:r w:rsidR="008F2FE0" w:rsidRPr="0095027C">
        <w:rPr>
          <w:rFonts w:ascii="Times New Roman" w:eastAsia="Times New Roman" w:hAnsi="Times New Roman" w:cs="Times New Roman"/>
          <w:color w:val="000000"/>
          <w:sz w:val="28"/>
          <w:szCs w:val="28"/>
        </w:rPr>
        <w:t xml:space="preserve"> </w:t>
      </w:r>
      <w:r w:rsidR="00617559" w:rsidRPr="0095027C">
        <w:rPr>
          <w:rFonts w:ascii="Times New Roman" w:eastAsia="Times New Roman" w:hAnsi="Times New Roman" w:cs="Times New Roman"/>
          <w:color w:val="000000"/>
          <w:sz w:val="28"/>
          <w:szCs w:val="28"/>
          <w:lang w:val="uk-UA"/>
        </w:rPr>
        <w:t xml:space="preserve">80 Бюджетного  кодексу України. </w:t>
      </w:r>
    </w:p>
    <w:p w:rsidR="00551BC8" w:rsidRPr="0095027C" w:rsidRDefault="002763B0" w:rsidP="008B23D3">
      <w:pPr>
        <w:jc w:val="center"/>
        <w:rPr>
          <w:rFonts w:ascii="Times New Roman" w:eastAsia="Times New Roman" w:hAnsi="Times New Roman" w:cs="Times New Roman"/>
          <w:b/>
          <w:color w:val="000000"/>
          <w:sz w:val="28"/>
          <w:szCs w:val="28"/>
          <w:lang w:val="uk-UA"/>
        </w:rPr>
      </w:pPr>
      <w:r w:rsidRPr="0095027C">
        <w:rPr>
          <w:rFonts w:ascii="Times New Roman" w:eastAsia="Times New Roman" w:hAnsi="Times New Roman" w:cs="Times New Roman"/>
          <w:b/>
          <w:color w:val="000000"/>
          <w:sz w:val="28"/>
          <w:szCs w:val="28"/>
          <w:lang w:val="uk-UA"/>
        </w:rPr>
        <w:t xml:space="preserve">2. </w:t>
      </w:r>
      <w:r w:rsidRPr="0095027C">
        <w:rPr>
          <w:rFonts w:ascii="Times New Roman" w:eastAsia="Times New Roman" w:hAnsi="Times New Roman" w:cs="Times New Roman"/>
          <w:b/>
          <w:color w:val="000000"/>
          <w:sz w:val="28"/>
          <w:szCs w:val="28"/>
        </w:rPr>
        <w:t>Мета і шляхи її досягнення.</w:t>
      </w:r>
    </w:p>
    <w:p w:rsidR="00617559" w:rsidRPr="0095027C" w:rsidRDefault="006729A9" w:rsidP="006729A9">
      <w:pPr>
        <w:jc w:val="both"/>
        <w:rPr>
          <w:rFonts w:ascii="Times New Roman" w:eastAsia="Times New Roman" w:hAnsi="Times New Roman" w:cs="Times New Roman"/>
          <w:color w:val="000000"/>
          <w:sz w:val="28"/>
          <w:szCs w:val="28"/>
          <w:lang w:val="uk-UA"/>
        </w:rPr>
      </w:pPr>
      <w:r w:rsidRPr="0095027C">
        <w:rPr>
          <w:rFonts w:ascii="Times New Roman" w:eastAsia="Times New Roman" w:hAnsi="Times New Roman" w:cs="Times New Roman"/>
          <w:color w:val="000000"/>
          <w:sz w:val="28"/>
          <w:szCs w:val="28"/>
          <w:lang w:val="uk-UA"/>
        </w:rPr>
        <w:t xml:space="preserve">     </w:t>
      </w:r>
      <w:r w:rsidR="00617559" w:rsidRPr="0095027C">
        <w:rPr>
          <w:rFonts w:ascii="Times New Roman" w:eastAsia="Times New Roman" w:hAnsi="Times New Roman" w:cs="Times New Roman"/>
          <w:color w:val="000000"/>
          <w:sz w:val="28"/>
          <w:szCs w:val="28"/>
          <w:lang w:val="uk-UA"/>
        </w:rPr>
        <w:t xml:space="preserve">      </w:t>
      </w:r>
      <w:r w:rsidR="00112DF9" w:rsidRPr="0095027C">
        <w:rPr>
          <w:rFonts w:ascii="Times New Roman" w:eastAsia="Times New Roman" w:hAnsi="Times New Roman" w:cs="Times New Roman"/>
          <w:color w:val="000000"/>
          <w:sz w:val="28"/>
          <w:szCs w:val="28"/>
          <w:lang w:val="uk-UA"/>
        </w:rPr>
        <w:t>Звіт</w:t>
      </w:r>
      <w:r w:rsidR="00617559" w:rsidRPr="0095027C">
        <w:rPr>
          <w:rFonts w:ascii="Times New Roman" w:eastAsia="Times New Roman" w:hAnsi="Times New Roman" w:cs="Times New Roman"/>
          <w:color w:val="000000"/>
          <w:sz w:val="28"/>
          <w:szCs w:val="28"/>
          <w:lang w:val="uk-UA"/>
        </w:rPr>
        <w:t xml:space="preserve"> про виконання бюджету Рогатинської міс</w:t>
      </w:r>
      <w:r w:rsidR="008F2FE0" w:rsidRPr="0095027C">
        <w:rPr>
          <w:rFonts w:ascii="Times New Roman" w:eastAsia="Times New Roman" w:hAnsi="Times New Roman" w:cs="Times New Roman"/>
          <w:color w:val="000000"/>
          <w:sz w:val="28"/>
          <w:szCs w:val="28"/>
          <w:lang w:val="uk-UA"/>
        </w:rPr>
        <w:t xml:space="preserve">ької  територіальної громади </w:t>
      </w:r>
      <w:r w:rsidR="007B106E" w:rsidRPr="0095027C">
        <w:rPr>
          <w:rFonts w:ascii="Times New Roman" w:eastAsia="Times New Roman" w:hAnsi="Times New Roman" w:cs="Times New Roman"/>
          <w:color w:val="000000"/>
          <w:sz w:val="28"/>
          <w:szCs w:val="28"/>
          <w:lang w:val="uk-UA"/>
        </w:rPr>
        <w:t xml:space="preserve">за </w:t>
      </w:r>
      <w:r w:rsidR="00611CAC" w:rsidRPr="0095027C">
        <w:rPr>
          <w:rFonts w:ascii="Times New Roman" w:eastAsia="Times New Roman" w:hAnsi="Times New Roman" w:cs="Times New Roman"/>
          <w:color w:val="000000"/>
          <w:sz w:val="28"/>
          <w:szCs w:val="28"/>
          <w:lang w:val="uk-UA"/>
        </w:rPr>
        <w:t>202</w:t>
      </w:r>
      <w:r w:rsidR="00FE7CCE" w:rsidRPr="0095027C">
        <w:rPr>
          <w:rFonts w:ascii="Times New Roman" w:eastAsia="Times New Roman" w:hAnsi="Times New Roman" w:cs="Times New Roman"/>
          <w:color w:val="000000"/>
          <w:sz w:val="28"/>
          <w:szCs w:val="28"/>
          <w:lang w:val="uk-UA"/>
        </w:rPr>
        <w:t>3</w:t>
      </w:r>
      <w:r w:rsidR="00611CAC" w:rsidRPr="0095027C">
        <w:rPr>
          <w:rFonts w:ascii="Times New Roman" w:eastAsia="Times New Roman" w:hAnsi="Times New Roman" w:cs="Times New Roman"/>
          <w:color w:val="000000"/>
          <w:sz w:val="28"/>
          <w:szCs w:val="28"/>
          <w:lang w:val="uk-UA"/>
        </w:rPr>
        <w:t xml:space="preserve"> р</w:t>
      </w:r>
      <w:r w:rsidR="00AA00C4" w:rsidRPr="0095027C">
        <w:rPr>
          <w:rFonts w:ascii="Times New Roman" w:eastAsia="Times New Roman" w:hAnsi="Times New Roman" w:cs="Times New Roman"/>
          <w:color w:val="000000"/>
          <w:sz w:val="28"/>
          <w:szCs w:val="28"/>
          <w:lang w:val="uk-UA"/>
        </w:rPr>
        <w:t>ік</w:t>
      </w:r>
      <w:r w:rsidR="00617559" w:rsidRPr="0095027C">
        <w:rPr>
          <w:rFonts w:ascii="Times New Roman" w:eastAsia="Times New Roman" w:hAnsi="Times New Roman" w:cs="Times New Roman"/>
          <w:color w:val="000000"/>
          <w:sz w:val="28"/>
          <w:szCs w:val="28"/>
          <w:lang w:val="uk-UA"/>
        </w:rPr>
        <w:t xml:space="preserve"> розроблено з метою звітування перед гро</w:t>
      </w:r>
      <w:r w:rsidR="008F2FE0" w:rsidRPr="0095027C">
        <w:rPr>
          <w:rFonts w:ascii="Times New Roman" w:eastAsia="Times New Roman" w:hAnsi="Times New Roman" w:cs="Times New Roman"/>
          <w:color w:val="000000"/>
          <w:sz w:val="28"/>
          <w:szCs w:val="28"/>
          <w:lang w:val="uk-UA"/>
        </w:rPr>
        <w:t>мадою про хід виконання бюджету</w:t>
      </w:r>
      <w:r w:rsidR="00617559" w:rsidRPr="0095027C">
        <w:rPr>
          <w:rFonts w:ascii="Times New Roman" w:eastAsia="Times New Roman" w:hAnsi="Times New Roman" w:cs="Times New Roman"/>
          <w:color w:val="000000"/>
          <w:sz w:val="28"/>
          <w:szCs w:val="28"/>
          <w:lang w:val="uk-UA"/>
        </w:rPr>
        <w:t xml:space="preserve">. В проекті </w:t>
      </w:r>
      <w:r w:rsidR="00112DF9" w:rsidRPr="0095027C">
        <w:rPr>
          <w:rFonts w:ascii="Times New Roman" w:eastAsia="Times New Roman" w:hAnsi="Times New Roman" w:cs="Times New Roman"/>
          <w:color w:val="000000"/>
          <w:sz w:val="28"/>
          <w:szCs w:val="28"/>
          <w:lang w:val="uk-UA"/>
        </w:rPr>
        <w:t>рішення враховано аналіз виконання</w:t>
      </w:r>
      <w:r w:rsidR="00617559" w:rsidRPr="0095027C">
        <w:rPr>
          <w:rFonts w:ascii="Times New Roman" w:eastAsia="Times New Roman" w:hAnsi="Times New Roman" w:cs="Times New Roman"/>
          <w:color w:val="000000"/>
          <w:sz w:val="28"/>
          <w:szCs w:val="28"/>
          <w:lang w:val="uk-UA"/>
        </w:rPr>
        <w:t xml:space="preserve"> доходної та видаткової частини місцевого бюджету, визначено напрямки спр</w:t>
      </w:r>
      <w:r w:rsidR="008F2FE0" w:rsidRPr="0095027C">
        <w:rPr>
          <w:rFonts w:ascii="Times New Roman" w:eastAsia="Times New Roman" w:hAnsi="Times New Roman" w:cs="Times New Roman"/>
          <w:color w:val="000000"/>
          <w:sz w:val="28"/>
          <w:szCs w:val="28"/>
          <w:lang w:val="uk-UA"/>
        </w:rPr>
        <w:t xml:space="preserve">ямування, наявного фінансового </w:t>
      </w:r>
      <w:r w:rsidR="00617559" w:rsidRPr="0095027C">
        <w:rPr>
          <w:rFonts w:ascii="Times New Roman" w:eastAsia="Times New Roman" w:hAnsi="Times New Roman" w:cs="Times New Roman"/>
          <w:color w:val="000000"/>
          <w:sz w:val="28"/>
          <w:szCs w:val="28"/>
          <w:lang w:val="uk-UA"/>
        </w:rPr>
        <w:t>ресурсу місь</w:t>
      </w:r>
      <w:r w:rsidR="002B2D96" w:rsidRPr="0095027C">
        <w:rPr>
          <w:rFonts w:ascii="Times New Roman" w:eastAsia="Times New Roman" w:hAnsi="Times New Roman" w:cs="Times New Roman"/>
          <w:color w:val="000000"/>
          <w:sz w:val="28"/>
          <w:szCs w:val="28"/>
          <w:lang w:val="uk-UA"/>
        </w:rPr>
        <w:t>кого бюджету протягом</w:t>
      </w:r>
      <w:r w:rsidR="005859CC" w:rsidRPr="0095027C">
        <w:rPr>
          <w:rFonts w:ascii="Times New Roman" w:eastAsia="Times New Roman" w:hAnsi="Times New Roman" w:cs="Times New Roman"/>
          <w:color w:val="000000"/>
          <w:sz w:val="28"/>
          <w:szCs w:val="28"/>
          <w:lang w:val="uk-UA"/>
        </w:rPr>
        <w:t xml:space="preserve">  202</w:t>
      </w:r>
      <w:r w:rsidR="00FE7CCE" w:rsidRPr="0095027C">
        <w:rPr>
          <w:rFonts w:ascii="Times New Roman" w:eastAsia="Times New Roman" w:hAnsi="Times New Roman" w:cs="Times New Roman"/>
          <w:color w:val="000000"/>
          <w:sz w:val="28"/>
          <w:szCs w:val="28"/>
          <w:lang w:val="uk-UA"/>
        </w:rPr>
        <w:t>3</w:t>
      </w:r>
      <w:r w:rsidR="005859CC" w:rsidRPr="0095027C">
        <w:rPr>
          <w:rFonts w:ascii="Times New Roman" w:eastAsia="Times New Roman" w:hAnsi="Times New Roman" w:cs="Times New Roman"/>
          <w:color w:val="000000"/>
          <w:sz w:val="28"/>
          <w:szCs w:val="28"/>
          <w:lang w:val="uk-UA"/>
        </w:rPr>
        <w:t xml:space="preserve"> року</w:t>
      </w:r>
      <w:r w:rsidR="00617559" w:rsidRPr="0095027C">
        <w:rPr>
          <w:rFonts w:ascii="Times New Roman" w:eastAsia="Times New Roman" w:hAnsi="Times New Roman" w:cs="Times New Roman"/>
          <w:color w:val="000000"/>
          <w:sz w:val="28"/>
          <w:szCs w:val="28"/>
          <w:lang w:val="uk-UA"/>
        </w:rPr>
        <w:t>.</w:t>
      </w:r>
    </w:p>
    <w:p w:rsidR="00551BC8" w:rsidRPr="0095027C" w:rsidRDefault="002763B0" w:rsidP="008B23D3">
      <w:pPr>
        <w:jc w:val="center"/>
        <w:rPr>
          <w:rFonts w:ascii="Times New Roman" w:eastAsia="Times New Roman" w:hAnsi="Times New Roman" w:cs="Times New Roman"/>
          <w:b/>
          <w:color w:val="000000"/>
          <w:sz w:val="28"/>
          <w:szCs w:val="28"/>
        </w:rPr>
      </w:pPr>
      <w:r w:rsidRPr="0095027C">
        <w:rPr>
          <w:rFonts w:ascii="Times New Roman" w:eastAsia="Times New Roman" w:hAnsi="Times New Roman" w:cs="Times New Roman"/>
          <w:b/>
          <w:color w:val="000000"/>
          <w:sz w:val="28"/>
          <w:szCs w:val="28"/>
        </w:rPr>
        <w:t>3.Правові аспекти.</w:t>
      </w:r>
    </w:p>
    <w:p w:rsidR="00551BC8" w:rsidRPr="0095027C" w:rsidRDefault="002763B0" w:rsidP="00331AD8">
      <w:pPr>
        <w:pStyle w:val="10"/>
        <w:widowControl w:val="0"/>
        <w:pBdr>
          <w:top w:val="nil"/>
          <w:left w:val="nil"/>
          <w:bottom w:val="nil"/>
          <w:right w:val="nil"/>
          <w:between w:val="nil"/>
        </w:pBdr>
        <w:spacing w:line="240" w:lineRule="auto"/>
        <w:ind w:left="718"/>
        <w:jc w:val="both"/>
        <w:rPr>
          <w:rFonts w:ascii="Times New Roman" w:eastAsia="Times New Roman" w:hAnsi="Times New Roman" w:cs="Times New Roman"/>
          <w:color w:val="000000"/>
          <w:sz w:val="28"/>
          <w:szCs w:val="28"/>
        </w:rPr>
      </w:pPr>
      <w:r w:rsidRPr="0095027C">
        <w:rPr>
          <w:rFonts w:ascii="Times New Roman" w:eastAsia="Times New Roman" w:hAnsi="Times New Roman" w:cs="Times New Roman"/>
          <w:color w:val="000000"/>
          <w:sz w:val="28"/>
          <w:szCs w:val="28"/>
        </w:rPr>
        <w:t xml:space="preserve">- Закон України «Про місцеве самоврядування в Україні»; </w:t>
      </w:r>
    </w:p>
    <w:p w:rsidR="000B5BD4" w:rsidRPr="0095027C" w:rsidRDefault="002763B0" w:rsidP="000B5BD4">
      <w:pPr>
        <w:pStyle w:val="10"/>
        <w:widowControl w:val="0"/>
        <w:pBdr>
          <w:top w:val="nil"/>
          <w:left w:val="nil"/>
          <w:bottom w:val="nil"/>
          <w:right w:val="nil"/>
          <w:between w:val="nil"/>
        </w:pBdr>
        <w:spacing w:line="240" w:lineRule="auto"/>
        <w:ind w:left="718"/>
        <w:jc w:val="both"/>
        <w:rPr>
          <w:rFonts w:ascii="Times New Roman" w:hAnsi="Times New Roman" w:cs="Times New Roman"/>
          <w:sz w:val="28"/>
          <w:szCs w:val="28"/>
          <w:lang w:val="uk-UA"/>
        </w:rPr>
      </w:pPr>
      <w:r w:rsidRPr="0095027C">
        <w:rPr>
          <w:rFonts w:ascii="Times New Roman" w:eastAsia="Times New Roman" w:hAnsi="Times New Roman" w:cs="Times New Roman"/>
          <w:color w:val="000000"/>
          <w:sz w:val="28"/>
          <w:szCs w:val="28"/>
        </w:rPr>
        <w:t xml:space="preserve">- </w:t>
      </w:r>
      <w:r w:rsidR="00112DF9" w:rsidRPr="0095027C">
        <w:rPr>
          <w:rFonts w:ascii="Times New Roman" w:hAnsi="Times New Roman" w:cs="Times New Roman"/>
          <w:sz w:val="28"/>
          <w:szCs w:val="28"/>
        </w:rPr>
        <w:t>Бюджетний кодекс України</w:t>
      </w:r>
      <w:r w:rsidR="000B5BD4" w:rsidRPr="0095027C">
        <w:rPr>
          <w:rFonts w:ascii="Times New Roman" w:hAnsi="Times New Roman" w:cs="Times New Roman"/>
          <w:sz w:val="28"/>
          <w:szCs w:val="28"/>
          <w:lang w:val="uk-UA"/>
        </w:rPr>
        <w:t>;</w:t>
      </w:r>
    </w:p>
    <w:p w:rsidR="000B5BD4" w:rsidRPr="0095027C" w:rsidRDefault="000B5BD4" w:rsidP="000B5BD4">
      <w:pPr>
        <w:pStyle w:val="10"/>
        <w:widowControl w:val="0"/>
        <w:pBdr>
          <w:top w:val="nil"/>
          <w:left w:val="nil"/>
          <w:bottom w:val="nil"/>
          <w:right w:val="nil"/>
          <w:between w:val="nil"/>
        </w:pBdr>
        <w:spacing w:line="240" w:lineRule="auto"/>
        <w:ind w:left="718"/>
        <w:jc w:val="both"/>
        <w:rPr>
          <w:rFonts w:ascii="Times New Roman" w:hAnsi="Times New Roman" w:cs="Times New Roman"/>
          <w:sz w:val="28"/>
          <w:szCs w:val="28"/>
        </w:rPr>
      </w:pPr>
      <w:r w:rsidRPr="0095027C">
        <w:rPr>
          <w:rFonts w:ascii="Times New Roman" w:hAnsi="Times New Roman" w:cs="Times New Roman"/>
          <w:sz w:val="28"/>
          <w:szCs w:val="28"/>
          <w:lang w:val="uk-UA"/>
        </w:rPr>
        <w:t>-</w:t>
      </w:r>
      <w:r w:rsidRPr="0095027C">
        <w:rPr>
          <w:rFonts w:ascii="Times New Roman" w:hAnsi="Times New Roman" w:cs="Times New Roman"/>
          <w:sz w:val="28"/>
          <w:szCs w:val="28"/>
        </w:rPr>
        <w:t xml:space="preserve"> Закон України </w:t>
      </w:r>
      <w:r w:rsidRPr="0095027C">
        <w:rPr>
          <w:rFonts w:ascii="Times New Roman" w:hAnsi="Times New Roman" w:cs="Times New Roman"/>
          <w:sz w:val="28"/>
          <w:szCs w:val="28"/>
          <w:lang w:val="uk-UA"/>
        </w:rPr>
        <w:t>«П</w:t>
      </w:r>
      <w:r w:rsidRPr="0095027C">
        <w:rPr>
          <w:rFonts w:ascii="Times New Roman" w:hAnsi="Times New Roman" w:cs="Times New Roman"/>
          <w:sz w:val="28"/>
          <w:szCs w:val="28"/>
        </w:rPr>
        <w:t xml:space="preserve">ро </w:t>
      </w:r>
      <w:r w:rsidR="005859CC" w:rsidRPr="0095027C">
        <w:rPr>
          <w:rFonts w:ascii="Times New Roman" w:hAnsi="Times New Roman" w:cs="Times New Roman"/>
          <w:sz w:val="28"/>
          <w:szCs w:val="28"/>
        </w:rPr>
        <w:t>державний бюджет України на 202</w:t>
      </w:r>
      <w:r w:rsidR="00FE7CCE" w:rsidRPr="0095027C">
        <w:rPr>
          <w:rFonts w:ascii="Times New Roman" w:hAnsi="Times New Roman" w:cs="Times New Roman"/>
          <w:sz w:val="28"/>
          <w:szCs w:val="28"/>
          <w:lang w:val="uk-UA"/>
        </w:rPr>
        <w:t>3</w:t>
      </w:r>
      <w:r w:rsidRPr="0095027C">
        <w:rPr>
          <w:rFonts w:ascii="Times New Roman" w:hAnsi="Times New Roman" w:cs="Times New Roman"/>
          <w:sz w:val="28"/>
          <w:szCs w:val="28"/>
        </w:rPr>
        <w:t xml:space="preserve"> рік». </w:t>
      </w:r>
    </w:p>
    <w:p w:rsidR="00B75822" w:rsidRDefault="002763B0" w:rsidP="00812270">
      <w:pPr>
        <w:pStyle w:val="10"/>
        <w:widowControl w:val="0"/>
        <w:pBdr>
          <w:top w:val="nil"/>
          <w:left w:val="nil"/>
          <w:bottom w:val="nil"/>
          <w:right w:val="nil"/>
          <w:between w:val="nil"/>
        </w:pBdr>
        <w:ind w:left="718"/>
        <w:jc w:val="center"/>
        <w:rPr>
          <w:rFonts w:ascii="Times New Roman" w:eastAsia="Times New Roman" w:hAnsi="Times New Roman" w:cs="Times New Roman"/>
          <w:b/>
          <w:color w:val="000000"/>
          <w:sz w:val="28"/>
          <w:szCs w:val="28"/>
          <w:lang w:val="uk-UA"/>
        </w:rPr>
      </w:pPr>
      <w:r w:rsidRPr="0095027C">
        <w:rPr>
          <w:rFonts w:ascii="Times New Roman" w:eastAsia="Times New Roman" w:hAnsi="Times New Roman" w:cs="Times New Roman"/>
          <w:b/>
          <w:color w:val="000000"/>
          <w:sz w:val="28"/>
          <w:szCs w:val="28"/>
          <w:lang w:val="uk-UA"/>
        </w:rPr>
        <w:t>4. Фінансово-економічне обґрунтування.</w:t>
      </w:r>
    </w:p>
    <w:p w:rsidR="00812270" w:rsidRDefault="00812270" w:rsidP="00812270">
      <w:pPr>
        <w:pStyle w:val="10"/>
        <w:widowControl w:val="0"/>
        <w:pBdr>
          <w:top w:val="nil"/>
          <w:left w:val="nil"/>
          <w:bottom w:val="nil"/>
          <w:right w:val="nil"/>
          <w:between w:val="nil"/>
        </w:pBdr>
        <w:ind w:left="718"/>
        <w:jc w:val="center"/>
        <w:rPr>
          <w:rFonts w:ascii="Times New Roman" w:hAnsi="Times New Roman" w:cs="Times New Roman"/>
          <w:b/>
          <w:i/>
          <w:caps/>
          <w:sz w:val="28"/>
          <w:szCs w:val="28"/>
        </w:rPr>
      </w:pPr>
      <w:r w:rsidRPr="00812270">
        <w:rPr>
          <w:rFonts w:ascii="Times New Roman" w:hAnsi="Times New Roman" w:cs="Times New Roman"/>
          <w:b/>
          <w:i/>
          <w:caps/>
          <w:sz w:val="28"/>
          <w:szCs w:val="28"/>
        </w:rPr>
        <w:t>Загальна характеристика виконання бюджету</w:t>
      </w:r>
    </w:p>
    <w:p w:rsidR="00812270" w:rsidRPr="00EF4E0B" w:rsidRDefault="00812270" w:rsidP="00812270">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EF4E0B">
        <w:rPr>
          <w:rFonts w:ascii="Times New Roman" w:eastAsia="Times New Roman" w:hAnsi="Times New Roman" w:cs="Times New Roman"/>
          <w:color w:val="000000"/>
          <w:sz w:val="28"/>
          <w:szCs w:val="28"/>
          <w:lang w:val="uk-UA"/>
        </w:rPr>
        <w:t>Цього року ситуація</w:t>
      </w:r>
      <w:r>
        <w:rPr>
          <w:rFonts w:ascii="Times New Roman" w:eastAsia="Times New Roman" w:hAnsi="Times New Roman" w:cs="Times New Roman"/>
          <w:color w:val="000000"/>
          <w:sz w:val="28"/>
          <w:szCs w:val="28"/>
          <w:lang w:val="uk-UA"/>
        </w:rPr>
        <w:t xml:space="preserve"> з наповненням міського бюджету, як і в минулому році </w:t>
      </w:r>
      <w:r w:rsidRPr="00EF4E0B">
        <w:rPr>
          <w:rFonts w:ascii="Times New Roman" w:eastAsia="Times New Roman" w:hAnsi="Times New Roman" w:cs="Times New Roman"/>
          <w:color w:val="000000"/>
          <w:sz w:val="28"/>
          <w:szCs w:val="28"/>
          <w:lang w:val="uk-UA"/>
        </w:rPr>
        <w:t xml:space="preserve">є складною, що пов’язано із </w:t>
      </w:r>
      <w:r>
        <w:rPr>
          <w:rFonts w:ascii="Times New Roman" w:eastAsia="Times New Roman" w:hAnsi="Times New Roman" w:cs="Times New Roman"/>
          <w:color w:val="000000"/>
          <w:sz w:val="28"/>
          <w:szCs w:val="28"/>
          <w:lang w:val="uk-UA"/>
        </w:rPr>
        <w:t>продовженням</w:t>
      </w:r>
      <w:r w:rsidRPr="00EF4E0B">
        <w:rPr>
          <w:rFonts w:ascii="Times New Roman" w:eastAsia="Times New Roman" w:hAnsi="Times New Roman" w:cs="Times New Roman"/>
          <w:color w:val="000000"/>
          <w:sz w:val="28"/>
          <w:szCs w:val="28"/>
          <w:lang w:val="uk-UA"/>
        </w:rPr>
        <w:t xml:space="preserve"> в державі  воєнного стану. В цих умовах важливо забезпечити оперативне, належне та безперервне виконання місцевого бюджету для збереження ефективного функціонування бюджетної сфери, життєвонеобхідних  потреб  жителів  територіальної громади, а також внутрішньо переміщених осіб.</w:t>
      </w:r>
    </w:p>
    <w:p w:rsidR="00812270" w:rsidRPr="00812270" w:rsidRDefault="00812270" w:rsidP="00812270">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EF4E0B">
        <w:rPr>
          <w:rFonts w:ascii="Times New Roman" w:eastAsia="Times New Roman" w:hAnsi="Times New Roman" w:cs="Times New Roman"/>
          <w:color w:val="000000"/>
          <w:sz w:val="28"/>
          <w:szCs w:val="28"/>
          <w:lang w:val="uk-UA"/>
        </w:rPr>
        <w:t xml:space="preserve">        В умовах обмежень та затверджених в період війни заходів з боку держави щодо підтримки платників податків, згідно з якими запроваджено низку податкових преференцій щодо розстрочення платежів, незастосування штрафних санкцій, списання пені, зменшення ставок податків тощо, бюджет міста втрачає значні ресурси наповнення доходів .</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lang w:val="uk-UA"/>
        </w:rPr>
      </w:pPr>
      <w:r w:rsidRPr="0095027C">
        <w:rPr>
          <w:rFonts w:ascii="Times New Roman" w:hAnsi="Times New Roman" w:cs="Times New Roman"/>
          <w:sz w:val="28"/>
          <w:szCs w:val="28"/>
          <w:lang w:val="uk-UA"/>
        </w:rPr>
        <w:t>За звітний 2023 рік до бюджету Рогатинської міської територіальної</w:t>
      </w:r>
      <w:r w:rsidRPr="003024C6">
        <w:rPr>
          <w:rFonts w:ascii="Times New Roman" w:hAnsi="Times New Roman" w:cs="Times New Roman"/>
          <w:sz w:val="28"/>
          <w:szCs w:val="28"/>
          <w:lang w:val="uk-UA"/>
        </w:rPr>
        <w:t xml:space="preserve"> громади надійшло власних і закріплених доходів загального і спеціального фондів в сумі 187724,1 тис. грн., що складає 123,8 відс. затвердженого плану (36110,1 тис. грн.) та 111 відс. уточненого річного плану (18596,2 тис.грн.), в тому числі по:</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812270">
        <w:rPr>
          <w:rFonts w:ascii="Times New Roman" w:hAnsi="Times New Roman" w:cs="Times New Roman"/>
          <w:b/>
          <w:i/>
          <w:sz w:val="28"/>
          <w:szCs w:val="28"/>
          <w:u w:val="single"/>
        </w:rPr>
        <w:t>загальному фонду</w:t>
      </w:r>
      <w:r w:rsidRPr="003024C6">
        <w:rPr>
          <w:rFonts w:ascii="Times New Roman" w:hAnsi="Times New Roman" w:cs="Times New Roman"/>
          <w:sz w:val="28"/>
          <w:szCs w:val="28"/>
        </w:rPr>
        <w:t xml:space="preserve"> – до загального фонду міського бюджету надійшло власних доходів – 171074,2 тис. грн., що на 8767,4 тис. грн. більше до планованих надходжень. Ріст надходжень доходів (без урахування міжбюджетних трансфертів) до планових призначень по загальному фонду – 105,4 %. </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b/>
          <w:sz w:val="28"/>
          <w:szCs w:val="28"/>
          <w:u w:val="single"/>
        </w:rPr>
        <w:lastRenderedPageBreak/>
        <w:t xml:space="preserve"> </w:t>
      </w:r>
      <w:r w:rsidRPr="00812270">
        <w:rPr>
          <w:rFonts w:ascii="Times New Roman" w:hAnsi="Times New Roman" w:cs="Times New Roman"/>
          <w:b/>
          <w:i/>
          <w:sz w:val="28"/>
          <w:szCs w:val="28"/>
          <w:u w:val="single"/>
        </w:rPr>
        <w:t>спеціальному фонду</w:t>
      </w:r>
      <w:r w:rsidRPr="003024C6">
        <w:rPr>
          <w:rFonts w:ascii="Times New Roman" w:hAnsi="Times New Roman" w:cs="Times New Roman"/>
          <w:sz w:val="28"/>
          <w:szCs w:val="28"/>
        </w:rPr>
        <w:t xml:space="preserve"> – до спеціального фонду надійшло 16649,9 тис. грн., 244,09 відс. уточненого плану звітного року (9828,8 тис. грн.) та на 6604,4 тис. грн. більше від факту минулого року .</w:t>
      </w:r>
    </w:p>
    <w:p w:rsidR="003024C6" w:rsidRPr="003024C6" w:rsidRDefault="003024C6" w:rsidP="0095027C">
      <w:pPr>
        <w:tabs>
          <w:tab w:val="left" w:pos="600"/>
          <w:tab w:val="left" w:pos="1100"/>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Крім того, у 2023 р. одержано офіційні трансферти: </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812270">
        <w:rPr>
          <w:rFonts w:ascii="Times New Roman" w:hAnsi="Times New Roman" w:cs="Times New Roman"/>
          <w:b/>
          <w:i/>
          <w:sz w:val="28"/>
          <w:szCs w:val="28"/>
          <w:u w:val="single"/>
        </w:rPr>
        <w:t>до загального фонду</w:t>
      </w:r>
      <w:r w:rsidRPr="003024C6">
        <w:rPr>
          <w:rFonts w:ascii="Times New Roman" w:hAnsi="Times New Roman" w:cs="Times New Roman"/>
          <w:sz w:val="28"/>
          <w:szCs w:val="28"/>
        </w:rPr>
        <w:t xml:space="preserve"> — 126607,8 тис.грн., зокрема:</w:t>
      </w:r>
    </w:p>
    <w:p w:rsidR="003024C6" w:rsidRPr="003024C6" w:rsidRDefault="003024C6" w:rsidP="0095027C">
      <w:pPr>
        <w:tabs>
          <w:tab w:val="left" w:pos="600"/>
          <w:tab w:val="left" w:pos="1100"/>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З державного бюджету — 121194,3 тис.грн.: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     - базова дотація— 42363,5 тис. грн., </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     - освітня субвенція — 78008,2 тис. 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 822,2 тис. грн.,</w:t>
      </w:r>
    </w:p>
    <w:p w:rsidR="003024C6" w:rsidRPr="003024C6" w:rsidRDefault="003024C6" w:rsidP="0095027C">
      <w:pPr>
        <w:tabs>
          <w:tab w:val="left" w:pos="600"/>
          <w:tab w:val="left" w:pos="1100"/>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З обласного бюджету – 5413,5 тис. 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дотація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- 2097,5 тис. 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інші дотації з місцевого бюджету – 124,2 тис.грн.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субвенція на здійснення переданих видатків у сфері освіти за рахунок коштів освітньої субвенції - 1470,9 тис. грн.</w:t>
      </w:r>
    </w:p>
    <w:p w:rsidR="003024C6" w:rsidRPr="003024C6" w:rsidRDefault="003024C6" w:rsidP="0095027C">
      <w:pPr>
        <w:tabs>
          <w:tab w:val="left" w:pos="600"/>
          <w:tab w:val="left" w:pos="1100"/>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 субвенція на надання державної підтримки особам з особливими освітніми потребами за рахунок відповідної субвенції з державного бюджету - 225,1 тис. 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інші субвенції з місцевого бюджету -1495,8 тис. грн.</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812270">
        <w:rPr>
          <w:rFonts w:ascii="Times New Roman" w:hAnsi="Times New Roman" w:cs="Times New Roman"/>
          <w:b/>
          <w:i/>
          <w:sz w:val="28"/>
          <w:szCs w:val="28"/>
          <w:u w:val="single"/>
        </w:rPr>
        <w:t>до спеціального фонду</w:t>
      </w:r>
      <w:r w:rsidRPr="003024C6">
        <w:rPr>
          <w:rFonts w:ascii="Times New Roman" w:hAnsi="Times New Roman" w:cs="Times New Roman"/>
          <w:b/>
          <w:sz w:val="28"/>
          <w:szCs w:val="28"/>
          <w:u w:val="single"/>
        </w:rPr>
        <w:t xml:space="preserve"> </w:t>
      </w:r>
      <w:r w:rsidRPr="003024C6">
        <w:rPr>
          <w:rFonts w:ascii="Times New Roman" w:hAnsi="Times New Roman" w:cs="Times New Roman"/>
          <w:sz w:val="28"/>
          <w:szCs w:val="28"/>
        </w:rPr>
        <w:t>— 4907,8 тис. грн., зокрема:</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З обласного бюджету :</w:t>
      </w:r>
    </w:p>
    <w:p w:rsidR="003024C6" w:rsidRPr="003024C6" w:rsidRDefault="003024C6" w:rsidP="0095027C">
      <w:pPr>
        <w:tabs>
          <w:tab w:val="left" w:pos="600"/>
          <w:tab w:val="left" w:pos="1100"/>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інші субвенції з місцевого бюджету - 4907,8 тис. грн.</w:t>
      </w:r>
    </w:p>
    <w:p w:rsidR="003024C6" w:rsidRPr="00812270" w:rsidRDefault="003024C6" w:rsidP="0095027C">
      <w:pPr>
        <w:spacing w:line="240" w:lineRule="auto"/>
        <w:ind w:firstLine="709"/>
        <w:jc w:val="center"/>
        <w:rPr>
          <w:rFonts w:ascii="Times New Roman" w:hAnsi="Times New Roman" w:cs="Times New Roman"/>
          <w:b/>
          <w:i/>
          <w:caps/>
          <w:sz w:val="28"/>
          <w:szCs w:val="28"/>
        </w:rPr>
      </w:pPr>
      <w:r w:rsidRPr="00812270">
        <w:rPr>
          <w:rFonts w:ascii="Times New Roman" w:hAnsi="Times New Roman" w:cs="Times New Roman"/>
          <w:b/>
          <w:i/>
          <w:caps/>
          <w:sz w:val="28"/>
          <w:szCs w:val="28"/>
        </w:rPr>
        <w:t>Показники економічного розвитку регіону</w:t>
      </w:r>
    </w:p>
    <w:p w:rsidR="003024C6" w:rsidRPr="003024C6" w:rsidRDefault="003024C6" w:rsidP="0095027C">
      <w:pPr>
        <w:pStyle w:val="a5"/>
        <w:spacing w:after="0" w:line="240" w:lineRule="auto"/>
        <w:ind w:left="0" w:firstLine="709"/>
        <w:jc w:val="both"/>
        <w:rPr>
          <w:rFonts w:ascii="Times New Roman" w:hAnsi="Times New Roman" w:cs="Times New Roman"/>
          <w:sz w:val="28"/>
          <w:szCs w:val="28"/>
        </w:rPr>
      </w:pPr>
      <w:r w:rsidRPr="003024C6">
        <w:rPr>
          <w:rFonts w:ascii="Times New Roman" w:hAnsi="Times New Roman" w:cs="Times New Roman"/>
          <w:sz w:val="28"/>
          <w:szCs w:val="28"/>
        </w:rPr>
        <w:t>Починаючи з 24 лютого 2022 року та впродовж 2023 року, економіка Рогатинської МТГ, так само як і всієї України, стикається з надзвичайно складними викликами. Багато підприємств змушені призупинити свою діяльність або зменшити обсяги виробництва через обмежений доступ до ринків збуту чи сировини. Оцінка поточної ситуації ускладнюється обмеженою доступністю повної статистичної інформації. Для аналізу та прогнозування економічного розвитку доводиться використовувати адміністративні дані за окремими секторами економіки та результати опитування підприємств, оскільки офіційна статистика надає обмежені показники.</w:t>
      </w:r>
    </w:p>
    <w:p w:rsidR="003024C6" w:rsidRPr="00812270" w:rsidRDefault="003024C6" w:rsidP="0095027C">
      <w:pPr>
        <w:spacing w:line="240" w:lineRule="auto"/>
        <w:ind w:firstLine="708"/>
        <w:jc w:val="both"/>
        <w:rPr>
          <w:rFonts w:ascii="Times New Roman" w:eastAsia="Calibri" w:hAnsi="Times New Roman" w:cs="Times New Roman"/>
          <w:b/>
          <w:i/>
          <w:sz w:val="28"/>
          <w:u w:val="single"/>
          <w:lang w:eastAsia="en-US"/>
        </w:rPr>
      </w:pPr>
      <w:r w:rsidRPr="00812270">
        <w:rPr>
          <w:rFonts w:ascii="Times New Roman" w:eastAsia="Calibri" w:hAnsi="Times New Roman" w:cs="Times New Roman"/>
          <w:b/>
          <w:i/>
          <w:sz w:val="28"/>
          <w:u w:val="single"/>
          <w:lang w:eastAsia="en-US"/>
        </w:rPr>
        <w:t>Підприємництво</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Не зважаючи на всі труднощі, викликані повномасштабною війною, а це зростання цін на сировину, матеріали, послуги, брак обігових коштів, палива, робочої сили, складнощі з перевезенням сировини чи готових товарів територією України, зменшення попиту на продукцію або послуги підприємств,  протягом 2023 року поступово підвищувалась ділова активність суб’єктів малого та середнього бізнесу громади.</w:t>
      </w:r>
    </w:p>
    <w:p w:rsidR="003024C6" w:rsidRPr="003024C6" w:rsidRDefault="003024C6" w:rsidP="0095027C">
      <w:pPr>
        <w:spacing w:line="240" w:lineRule="auto"/>
        <w:ind w:firstLine="708"/>
        <w:jc w:val="both"/>
        <w:rPr>
          <w:rFonts w:ascii="Times New Roman" w:eastAsia="Calibri" w:hAnsi="Times New Roman" w:cs="Times New Roman"/>
          <w:sz w:val="28"/>
          <w:lang w:eastAsia="en-US"/>
        </w:rPr>
      </w:pPr>
      <w:r w:rsidRPr="003024C6">
        <w:rPr>
          <w:rFonts w:ascii="Times New Roman" w:eastAsia="Calibri" w:hAnsi="Times New Roman" w:cs="Times New Roman"/>
          <w:sz w:val="28"/>
          <w:szCs w:val="28"/>
          <w:lang w:eastAsia="en-US"/>
        </w:rPr>
        <w:t>За даними Головного управління Державної податкової служби в Івано-Франківській області, станом на 01.12.2023 року у</w:t>
      </w:r>
      <w:r w:rsidRPr="003024C6">
        <w:rPr>
          <w:rFonts w:ascii="Times New Roman" w:eastAsia="Calibri" w:hAnsi="Times New Roman" w:cs="Times New Roman"/>
          <w:color w:val="FF0000"/>
          <w:lang w:eastAsia="en-US"/>
        </w:rPr>
        <w:t xml:space="preserve"> </w:t>
      </w:r>
      <w:r w:rsidRPr="003024C6">
        <w:rPr>
          <w:rFonts w:ascii="Times New Roman" w:eastAsia="Calibri" w:hAnsi="Times New Roman" w:cs="Times New Roman"/>
          <w:sz w:val="28"/>
          <w:lang w:eastAsia="en-US"/>
        </w:rPr>
        <w:t xml:space="preserve">Рогатинській МТГ нараховується 1726 суб’єктів господарської діяльності із юридичною адресою в </w:t>
      </w:r>
      <w:r w:rsidRPr="003024C6">
        <w:rPr>
          <w:rFonts w:ascii="Times New Roman" w:eastAsia="Calibri" w:hAnsi="Times New Roman" w:cs="Times New Roman"/>
          <w:sz w:val="28"/>
          <w:lang w:eastAsia="en-US"/>
        </w:rPr>
        <w:lastRenderedPageBreak/>
        <w:t>МТГ, із них: 728 – юридичних осіб та 998 – фізичних осіб-підприємців. Основна частка суб’єктів господарювання зосереджена у місті Рогатині, який є адміністративним центром громади.</w:t>
      </w:r>
    </w:p>
    <w:p w:rsidR="003024C6" w:rsidRPr="003024C6" w:rsidRDefault="003024C6" w:rsidP="0095027C">
      <w:pPr>
        <w:spacing w:line="240" w:lineRule="auto"/>
        <w:ind w:firstLine="708"/>
        <w:jc w:val="both"/>
        <w:rPr>
          <w:rFonts w:ascii="Times New Roman" w:hAnsi="Times New Roman" w:cs="Times New Roman"/>
          <w:sz w:val="28"/>
          <w:szCs w:val="28"/>
          <w:lang w:eastAsia="uk-UA"/>
        </w:rPr>
      </w:pPr>
      <w:r w:rsidRPr="003024C6">
        <w:rPr>
          <w:rFonts w:ascii="Times New Roman" w:hAnsi="Times New Roman" w:cs="Times New Roman"/>
          <w:sz w:val="28"/>
          <w:szCs w:val="28"/>
          <w:lang w:eastAsia="uk-UA"/>
        </w:rPr>
        <w:t xml:space="preserve">Протягом 2023 року реалізовувались програми, спрямовані на створення та розвиток громадянами громади бізнесу. </w:t>
      </w:r>
    </w:p>
    <w:p w:rsidR="003024C6" w:rsidRPr="003024C6" w:rsidRDefault="003024C6" w:rsidP="0095027C">
      <w:pPr>
        <w:spacing w:line="240" w:lineRule="auto"/>
        <w:ind w:firstLine="708"/>
        <w:jc w:val="both"/>
        <w:rPr>
          <w:rFonts w:ascii="Times New Roman" w:hAnsi="Times New Roman" w:cs="Times New Roman"/>
          <w:sz w:val="28"/>
          <w:szCs w:val="28"/>
          <w:lang w:eastAsia="uk-UA"/>
        </w:rPr>
      </w:pPr>
      <w:r w:rsidRPr="003024C6">
        <w:rPr>
          <w:rFonts w:ascii="Times New Roman" w:hAnsi="Times New Roman" w:cs="Times New Roman"/>
          <w:sz w:val="28"/>
          <w:szCs w:val="28"/>
          <w:lang w:eastAsia="uk-UA"/>
        </w:rPr>
        <w:t>В рамках урядового проєкту єРобота Державний центр зайнятості прийняв позитивні рішення щодо надання мікрогрантів 4 подавачам заяв та бізнес-планів (2 фізичні особи-підприємці, 1 товариство з обмеженою відповідальністю та 1 фермерське господарство) в сфері торгівлі, сільського господарства та переробної промисловості. Після отримання мікро</w:t>
      </w:r>
      <w:r w:rsidRPr="003024C6">
        <w:rPr>
          <w:rFonts w:ascii="Times New Roman" w:hAnsi="Times New Roman" w:cs="Times New Roman"/>
          <w:sz w:val="28"/>
          <w:szCs w:val="28"/>
          <w:lang w:eastAsia="uk-UA"/>
        </w:rPr>
        <w:softHyphen/>
        <w:t xml:space="preserve">грантів підприємці зобов’язані створити </w:t>
      </w:r>
      <w:r w:rsidRPr="003024C6">
        <w:rPr>
          <w:rFonts w:ascii="Times New Roman" w:hAnsi="Times New Roman" w:cs="Times New Roman"/>
          <w:sz w:val="28"/>
          <w:szCs w:val="28"/>
          <w:shd w:val="clear" w:color="auto" w:fill="FFFFFF"/>
          <w:lang w:eastAsia="uk-UA"/>
        </w:rPr>
        <w:t xml:space="preserve">не менше двох робочих місць </w:t>
      </w:r>
      <w:r w:rsidRPr="003024C6">
        <w:rPr>
          <w:rFonts w:ascii="Times New Roman" w:hAnsi="Times New Roman" w:cs="Times New Roman"/>
          <w:sz w:val="28"/>
          <w:szCs w:val="28"/>
          <w:lang w:eastAsia="uk-UA"/>
        </w:rPr>
        <w:t xml:space="preserve">кожен. З </w:t>
      </w:r>
      <w:r w:rsidRPr="003024C6">
        <w:rPr>
          <w:rFonts w:ascii="Times New Roman" w:hAnsi="Times New Roman" w:cs="Times New Roman"/>
          <w:bCs/>
          <w:sz w:val="28"/>
          <w:szCs w:val="28"/>
          <w:lang w:eastAsia="uk-UA"/>
        </w:rPr>
        <w:t>Фонду загальнообов’язкового державного соціального страхування України на випадок безробіття для надання мікрогрантів особам, які отримали позитивні рішення виплачено по 250,0 тис.</w:t>
      </w:r>
      <w:r w:rsidRPr="003024C6">
        <w:rPr>
          <w:rFonts w:ascii="Times New Roman" w:hAnsi="Times New Roman" w:cs="Times New Roman"/>
          <w:sz w:val="28"/>
          <w:szCs w:val="28"/>
          <w:lang w:eastAsia="uk-UA"/>
        </w:rPr>
        <w:t xml:space="preserve"> грн.</w:t>
      </w:r>
    </w:p>
    <w:p w:rsidR="003024C6" w:rsidRPr="003024C6" w:rsidRDefault="0095027C" w:rsidP="0095027C">
      <w:pPr>
        <w:spacing w:line="24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рамках</w:t>
      </w:r>
      <w:r w:rsidR="003024C6" w:rsidRPr="003024C6">
        <w:rPr>
          <w:rFonts w:ascii="Times New Roman" w:hAnsi="Times New Roman" w:cs="Times New Roman"/>
          <w:sz w:val="28"/>
          <w:szCs w:val="28"/>
          <w:lang w:eastAsia="uk-UA"/>
        </w:rPr>
        <w:t xml:space="preserve"> проєкту «Розвиток МСП: економічна інтеграція внутрішньо переміщених осіб та відновлення бізнесу», який проводився Міжнародною організацією з міграції (МОМ), у результаті конкурсного відбору 1 суб’єкт мікробізнесу громади отримав грантову допомогу.</w:t>
      </w:r>
    </w:p>
    <w:p w:rsidR="003024C6" w:rsidRPr="00812270" w:rsidRDefault="003024C6" w:rsidP="0095027C">
      <w:pPr>
        <w:spacing w:line="240" w:lineRule="auto"/>
        <w:ind w:firstLine="708"/>
        <w:jc w:val="both"/>
        <w:rPr>
          <w:rFonts w:ascii="Times New Roman" w:eastAsia="Calibri" w:hAnsi="Times New Roman" w:cs="Times New Roman"/>
          <w:b/>
          <w:i/>
          <w:sz w:val="28"/>
          <w:szCs w:val="28"/>
          <w:u w:val="single"/>
          <w:lang w:eastAsia="en-US"/>
        </w:rPr>
      </w:pPr>
      <w:r w:rsidRPr="00812270">
        <w:rPr>
          <w:rFonts w:ascii="Times New Roman" w:eastAsia="Calibri" w:hAnsi="Times New Roman" w:cs="Times New Roman"/>
          <w:b/>
          <w:i/>
          <w:sz w:val="28"/>
          <w:szCs w:val="28"/>
          <w:u w:val="single"/>
          <w:lang w:eastAsia="en-US"/>
        </w:rPr>
        <w:t>Промисловість</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Протягом 2023 року промислові підприємства зосередилися на збереженні існуючих обсягів виробництва, пошуку ринків збуту, поповненні обігових коштів та можливостях грантової підтримки.</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У 2023 році відновило виробничу діяльність ТзОВ ВКФ «Скло-пак», основним видом діяльності якого є виробництво скла та скляних виробів, працювало 2 релокованих підприємства </w:t>
      </w:r>
      <w:r w:rsidR="0095027C" w:rsidRPr="003024C6">
        <w:rPr>
          <w:rFonts w:ascii="Times New Roman" w:eastAsia="Calibri" w:hAnsi="Times New Roman" w:cs="Times New Roman"/>
          <w:sz w:val="28"/>
          <w:szCs w:val="28"/>
          <w:lang w:eastAsia="en-US"/>
        </w:rPr>
        <w:t>з Харківської</w:t>
      </w:r>
      <w:r w:rsidRPr="003024C6">
        <w:rPr>
          <w:rFonts w:ascii="Times New Roman" w:eastAsia="Calibri" w:hAnsi="Times New Roman" w:cs="Times New Roman"/>
          <w:sz w:val="28"/>
          <w:szCs w:val="28"/>
          <w:lang w:eastAsia="en-US"/>
        </w:rPr>
        <w:t xml:space="preserve"> області, а саме: швейний цех та підприємство, основним видом діяльності якого є виробництво м’яса.</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uk-UA"/>
        </w:rPr>
      </w:pPr>
      <w:r w:rsidRPr="003024C6">
        <w:rPr>
          <w:rFonts w:ascii="Times New Roman" w:eastAsia="Calibri" w:hAnsi="Times New Roman" w:cs="Times New Roman"/>
          <w:sz w:val="28"/>
          <w:szCs w:val="28"/>
          <w:lang w:eastAsia="uk-UA"/>
        </w:rPr>
        <w:t xml:space="preserve">Промисловість громади в основному представлена підприємствами із виробництва харчових продуктів, оброблення деревини та виготовлення виробів із деревини, випуску хімічної продукції, </w:t>
      </w:r>
      <w:r w:rsidRPr="003024C6">
        <w:rPr>
          <w:rFonts w:ascii="Times New Roman" w:eastAsia="Calibri" w:hAnsi="Times New Roman" w:cs="Times New Roman"/>
          <w:sz w:val="28"/>
          <w:szCs w:val="28"/>
          <w:lang w:eastAsia="en-US"/>
        </w:rPr>
        <w:t xml:space="preserve">гумових, пластмасових та скляних виробів, </w:t>
      </w:r>
      <w:r w:rsidRPr="003024C6">
        <w:rPr>
          <w:rFonts w:ascii="Times New Roman" w:eastAsia="Calibri" w:hAnsi="Times New Roman" w:cs="Times New Roman"/>
          <w:sz w:val="28"/>
          <w:szCs w:val="28"/>
          <w:lang w:eastAsia="uk-UA"/>
        </w:rPr>
        <w:t>із постачання газу, водопостачання та водовідведення.</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uk-UA"/>
        </w:rPr>
      </w:pPr>
      <w:r w:rsidRPr="003024C6">
        <w:rPr>
          <w:rFonts w:ascii="Times New Roman" w:eastAsia="Calibri" w:hAnsi="Times New Roman" w:cs="Times New Roman"/>
          <w:sz w:val="28"/>
          <w:szCs w:val="28"/>
          <w:lang w:eastAsia="uk-UA"/>
        </w:rPr>
        <w:t xml:space="preserve">Обсяг реалізованої промислової продукції (товарів, послуг) промисловими підприємствами громади за січень-вересень 2023 року склав 1064449,8 тис.грн. проти 668844,0 тис.грн. за аналогічний період минулого року та 741000,0 тис.грн.  за січень-вересень 2021 року. Частка громади у загальнообласному обсязі реалізації становила 1,6% проти 1,1% за аналогічний період 2021 та 2022 років. У розрахунку на одну особу зареєстрованого населення обсяг реалізованої промислової продукції склав 34181 грн. проти 21429,8грн. за січень-вересень 2022 року </w:t>
      </w:r>
      <w:r w:rsidR="0095027C" w:rsidRPr="003024C6">
        <w:rPr>
          <w:rFonts w:ascii="Times New Roman" w:eastAsia="Calibri" w:hAnsi="Times New Roman" w:cs="Times New Roman"/>
          <w:sz w:val="28"/>
          <w:szCs w:val="28"/>
          <w:lang w:eastAsia="uk-UA"/>
        </w:rPr>
        <w:t>та 23521</w:t>
      </w:r>
      <w:r w:rsidRPr="003024C6">
        <w:rPr>
          <w:rFonts w:ascii="Times New Roman" w:eastAsia="Calibri" w:hAnsi="Times New Roman" w:cs="Times New Roman"/>
          <w:sz w:val="28"/>
          <w:szCs w:val="28"/>
          <w:lang w:eastAsia="uk-UA"/>
        </w:rPr>
        <w:t xml:space="preserve">,6 грн. за аналогічний період 2021 </w:t>
      </w:r>
      <w:r w:rsidR="0095027C" w:rsidRPr="003024C6">
        <w:rPr>
          <w:rFonts w:ascii="Times New Roman" w:eastAsia="Calibri" w:hAnsi="Times New Roman" w:cs="Times New Roman"/>
          <w:sz w:val="28"/>
          <w:szCs w:val="28"/>
          <w:lang w:eastAsia="uk-UA"/>
        </w:rPr>
        <w:t>року)</w:t>
      </w:r>
      <w:r w:rsidRPr="003024C6">
        <w:rPr>
          <w:rFonts w:ascii="Times New Roman" w:eastAsia="Calibri" w:hAnsi="Times New Roman" w:cs="Times New Roman"/>
          <w:sz w:val="28"/>
          <w:szCs w:val="28"/>
          <w:lang w:eastAsia="uk-UA"/>
        </w:rPr>
        <w:t>.</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uk-UA"/>
        </w:rPr>
        <w:t xml:space="preserve">Частка громади у загальнообласному обсязі реалізації становила 1,6%. </w:t>
      </w:r>
      <w:r w:rsidRPr="003024C6">
        <w:rPr>
          <w:rFonts w:ascii="Times New Roman" w:eastAsia="Calibri" w:hAnsi="Times New Roman" w:cs="Times New Roman"/>
          <w:sz w:val="28"/>
          <w:szCs w:val="28"/>
          <w:lang w:eastAsia="en-US"/>
        </w:rPr>
        <w:t xml:space="preserve">У розрахунку на одну особу зареєстрованого населення обсяг реалізованої промислової продукції склав 34,2 тис.грн. </w:t>
      </w:r>
    </w:p>
    <w:p w:rsidR="003024C6" w:rsidRPr="00812270" w:rsidRDefault="003024C6" w:rsidP="0095027C">
      <w:pPr>
        <w:spacing w:line="240" w:lineRule="auto"/>
        <w:ind w:firstLine="708"/>
        <w:jc w:val="both"/>
        <w:rPr>
          <w:rFonts w:ascii="Times New Roman" w:eastAsia="Calibri" w:hAnsi="Times New Roman" w:cs="Times New Roman"/>
          <w:b/>
          <w:i/>
          <w:sz w:val="28"/>
          <w:u w:val="single"/>
          <w:lang w:eastAsia="en-US"/>
        </w:rPr>
      </w:pPr>
      <w:r w:rsidRPr="00812270">
        <w:rPr>
          <w:rFonts w:ascii="Times New Roman" w:eastAsia="Calibri" w:hAnsi="Times New Roman" w:cs="Times New Roman"/>
          <w:b/>
          <w:i/>
          <w:sz w:val="28"/>
          <w:u w:val="single"/>
          <w:lang w:eastAsia="en-US"/>
        </w:rPr>
        <w:t>Зовнішньоекономічна діяльність</w:t>
      </w:r>
    </w:p>
    <w:p w:rsidR="003024C6" w:rsidRPr="003024C6" w:rsidRDefault="003024C6" w:rsidP="0095027C">
      <w:pPr>
        <w:spacing w:line="240" w:lineRule="auto"/>
        <w:ind w:firstLine="708"/>
        <w:jc w:val="both"/>
        <w:rPr>
          <w:rFonts w:ascii="Times New Roman" w:hAnsi="Times New Roman" w:cs="Times New Roman"/>
          <w:sz w:val="28"/>
          <w:szCs w:val="28"/>
          <w:lang w:eastAsia="uk-UA"/>
        </w:rPr>
      </w:pPr>
      <w:r w:rsidRPr="003024C6">
        <w:rPr>
          <w:rFonts w:ascii="Times New Roman" w:hAnsi="Times New Roman" w:cs="Times New Roman"/>
          <w:sz w:val="28"/>
          <w:szCs w:val="28"/>
          <w:lang w:eastAsia="uk-UA"/>
        </w:rPr>
        <w:t xml:space="preserve">Попри складну економічну ситуацію в країні внаслідок військової агресії російської федерації, скорочення ринків збуту товарів, загальний обсяг експорту товарів підприємствами громади за січень-вересень 2023 року склав </w:t>
      </w:r>
      <w:r w:rsidRPr="003024C6">
        <w:rPr>
          <w:rFonts w:ascii="Times New Roman" w:hAnsi="Times New Roman" w:cs="Times New Roman"/>
          <w:sz w:val="28"/>
          <w:szCs w:val="28"/>
          <w:lang w:eastAsia="uk-UA"/>
        </w:rPr>
        <w:lastRenderedPageBreak/>
        <w:t xml:space="preserve">40751,1 тис. дол. США, що </w:t>
      </w:r>
      <w:r w:rsidR="0095027C" w:rsidRPr="003024C6">
        <w:rPr>
          <w:rFonts w:ascii="Times New Roman" w:hAnsi="Times New Roman" w:cs="Times New Roman"/>
          <w:sz w:val="28"/>
          <w:szCs w:val="28"/>
          <w:lang w:eastAsia="uk-UA"/>
        </w:rPr>
        <w:t>в 2</w:t>
      </w:r>
      <w:r w:rsidRPr="003024C6">
        <w:rPr>
          <w:rFonts w:ascii="Times New Roman" w:hAnsi="Times New Roman" w:cs="Times New Roman"/>
          <w:sz w:val="28"/>
          <w:szCs w:val="28"/>
          <w:lang w:eastAsia="uk-UA"/>
        </w:rPr>
        <w:t xml:space="preserve">,3 рази </w:t>
      </w:r>
      <w:r w:rsidR="0095027C" w:rsidRPr="003024C6">
        <w:rPr>
          <w:rFonts w:ascii="Times New Roman" w:hAnsi="Times New Roman" w:cs="Times New Roman"/>
          <w:sz w:val="28"/>
          <w:szCs w:val="28"/>
          <w:lang w:eastAsia="uk-UA"/>
        </w:rPr>
        <w:t>більше,</w:t>
      </w:r>
      <w:r w:rsidRPr="003024C6">
        <w:rPr>
          <w:rFonts w:ascii="Times New Roman" w:hAnsi="Times New Roman" w:cs="Times New Roman"/>
          <w:sz w:val="28"/>
          <w:szCs w:val="28"/>
          <w:lang w:eastAsia="uk-UA"/>
        </w:rPr>
        <w:t xml:space="preserve"> в порівнянні з попереднім роком та в 3,7 рази більше ніж за січень-вересень 2021 року (до повномасштабного вторгнення російської федерації на територію України). На 19,9% до відповідного періоду минулого року та на 18,7 </w:t>
      </w:r>
      <w:r w:rsidR="0095027C" w:rsidRPr="003024C6">
        <w:rPr>
          <w:rFonts w:ascii="Times New Roman" w:hAnsi="Times New Roman" w:cs="Times New Roman"/>
          <w:sz w:val="28"/>
          <w:szCs w:val="28"/>
          <w:lang w:eastAsia="uk-UA"/>
        </w:rPr>
        <w:t>% -</w:t>
      </w:r>
      <w:r w:rsidRPr="003024C6">
        <w:rPr>
          <w:rFonts w:ascii="Times New Roman" w:hAnsi="Times New Roman" w:cs="Times New Roman"/>
          <w:sz w:val="28"/>
          <w:szCs w:val="28"/>
          <w:lang w:eastAsia="uk-UA"/>
        </w:rPr>
        <w:t xml:space="preserve"> до січня-вересня 2021 року (до повномасштабного вторгнення російської федерації на територію </w:t>
      </w:r>
      <w:r w:rsidR="0095027C" w:rsidRPr="003024C6">
        <w:rPr>
          <w:rFonts w:ascii="Times New Roman" w:hAnsi="Times New Roman" w:cs="Times New Roman"/>
          <w:sz w:val="28"/>
          <w:szCs w:val="28"/>
          <w:lang w:eastAsia="uk-UA"/>
        </w:rPr>
        <w:t>України) зріс</w:t>
      </w:r>
      <w:r w:rsidRPr="003024C6">
        <w:rPr>
          <w:rFonts w:ascii="Times New Roman" w:hAnsi="Times New Roman" w:cs="Times New Roman"/>
          <w:sz w:val="28"/>
          <w:szCs w:val="28"/>
          <w:lang w:eastAsia="uk-UA"/>
        </w:rPr>
        <w:t xml:space="preserve"> </w:t>
      </w:r>
      <w:r w:rsidR="0095027C" w:rsidRPr="003024C6">
        <w:rPr>
          <w:rFonts w:ascii="Times New Roman" w:hAnsi="Times New Roman" w:cs="Times New Roman"/>
          <w:sz w:val="28"/>
          <w:szCs w:val="28"/>
          <w:lang w:eastAsia="uk-UA"/>
        </w:rPr>
        <w:t>обсяг імпорту</w:t>
      </w:r>
      <w:r w:rsidRPr="003024C6">
        <w:rPr>
          <w:rFonts w:ascii="Times New Roman" w:hAnsi="Times New Roman" w:cs="Times New Roman"/>
          <w:sz w:val="28"/>
          <w:szCs w:val="28"/>
          <w:lang w:eastAsia="uk-UA"/>
        </w:rPr>
        <w:t xml:space="preserve"> </w:t>
      </w:r>
      <w:r w:rsidR="0095027C" w:rsidRPr="003024C6">
        <w:rPr>
          <w:rFonts w:ascii="Times New Roman" w:hAnsi="Times New Roman" w:cs="Times New Roman"/>
          <w:sz w:val="28"/>
          <w:szCs w:val="28"/>
          <w:lang w:eastAsia="uk-UA"/>
        </w:rPr>
        <w:t>та склав</w:t>
      </w:r>
      <w:r w:rsidRPr="003024C6">
        <w:rPr>
          <w:rFonts w:ascii="Times New Roman" w:hAnsi="Times New Roman" w:cs="Times New Roman"/>
          <w:sz w:val="28"/>
          <w:szCs w:val="28"/>
          <w:lang w:eastAsia="uk-UA"/>
        </w:rPr>
        <w:t xml:space="preserve"> 8199,0 </w:t>
      </w:r>
      <w:r w:rsidR="0095027C" w:rsidRPr="003024C6">
        <w:rPr>
          <w:rFonts w:ascii="Times New Roman" w:hAnsi="Times New Roman" w:cs="Times New Roman"/>
          <w:sz w:val="28"/>
          <w:szCs w:val="28"/>
          <w:lang w:eastAsia="uk-UA"/>
        </w:rPr>
        <w:t>тис. дол</w:t>
      </w:r>
      <w:r w:rsidRPr="003024C6">
        <w:rPr>
          <w:rFonts w:ascii="Times New Roman" w:hAnsi="Times New Roman" w:cs="Times New Roman"/>
          <w:sz w:val="28"/>
          <w:szCs w:val="28"/>
          <w:lang w:eastAsia="uk-UA"/>
        </w:rPr>
        <w:t xml:space="preserve">. США. Позитивне сальдо зовнішньої торгівлі товарами до відповідного періоду минулого </w:t>
      </w:r>
      <w:r w:rsidR="0095027C" w:rsidRPr="003024C6">
        <w:rPr>
          <w:rFonts w:ascii="Times New Roman" w:hAnsi="Times New Roman" w:cs="Times New Roman"/>
          <w:sz w:val="28"/>
          <w:szCs w:val="28"/>
          <w:lang w:eastAsia="uk-UA"/>
        </w:rPr>
        <w:t>року зросло</w:t>
      </w:r>
      <w:r w:rsidRPr="003024C6">
        <w:rPr>
          <w:rFonts w:ascii="Times New Roman" w:hAnsi="Times New Roman" w:cs="Times New Roman"/>
          <w:sz w:val="28"/>
          <w:szCs w:val="28"/>
          <w:lang w:eastAsia="uk-UA"/>
        </w:rPr>
        <w:t xml:space="preserve"> в 3 рази і становило 32552,1 тис. дол. США та в 7,8 рази </w:t>
      </w:r>
      <w:r w:rsidR="0095027C" w:rsidRPr="003024C6">
        <w:rPr>
          <w:rFonts w:ascii="Times New Roman" w:hAnsi="Times New Roman" w:cs="Times New Roman"/>
          <w:sz w:val="28"/>
          <w:szCs w:val="28"/>
          <w:lang w:eastAsia="uk-UA"/>
        </w:rPr>
        <w:t>більше до</w:t>
      </w:r>
      <w:r w:rsidRPr="003024C6">
        <w:rPr>
          <w:rFonts w:ascii="Times New Roman" w:hAnsi="Times New Roman" w:cs="Times New Roman"/>
          <w:sz w:val="28"/>
          <w:szCs w:val="28"/>
          <w:lang w:eastAsia="uk-UA"/>
        </w:rPr>
        <w:t xml:space="preserve"> січня-вересня 2021 року </w:t>
      </w:r>
      <w:r w:rsidR="0095027C" w:rsidRPr="003024C6">
        <w:rPr>
          <w:rFonts w:ascii="Times New Roman" w:hAnsi="Times New Roman" w:cs="Times New Roman"/>
          <w:sz w:val="28"/>
          <w:szCs w:val="28"/>
          <w:lang w:eastAsia="uk-UA"/>
        </w:rPr>
        <w:t>(до</w:t>
      </w:r>
      <w:r w:rsidRPr="003024C6">
        <w:rPr>
          <w:rFonts w:ascii="Times New Roman" w:hAnsi="Times New Roman" w:cs="Times New Roman"/>
          <w:sz w:val="28"/>
          <w:szCs w:val="28"/>
          <w:lang w:eastAsia="uk-UA"/>
        </w:rPr>
        <w:t xml:space="preserve"> повномасштабного вторгнення російської федерації на територію України). </w:t>
      </w:r>
      <w:r w:rsidR="0095027C" w:rsidRPr="003024C6">
        <w:rPr>
          <w:rFonts w:ascii="Times New Roman" w:hAnsi="Times New Roman" w:cs="Times New Roman"/>
          <w:sz w:val="28"/>
          <w:szCs w:val="28"/>
          <w:lang w:eastAsia="uk-UA"/>
        </w:rPr>
        <w:t>Коефіцієнт покриття експортом імпорту склав 4</w:t>
      </w:r>
      <w:r w:rsidRPr="003024C6">
        <w:rPr>
          <w:rFonts w:ascii="Times New Roman" w:hAnsi="Times New Roman" w:cs="Times New Roman"/>
          <w:sz w:val="28"/>
          <w:szCs w:val="28"/>
          <w:lang w:eastAsia="uk-UA"/>
        </w:rPr>
        <w:t xml:space="preserve">,97 проти 2,56-за січень-вересень 2022 року та 1,6- за січень-вересень 2021 року.  Питома вага громади в загальнообласних </w:t>
      </w:r>
      <w:r w:rsidR="0095027C" w:rsidRPr="003024C6">
        <w:rPr>
          <w:rFonts w:ascii="Times New Roman" w:hAnsi="Times New Roman" w:cs="Times New Roman"/>
          <w:sz w:val="28"/>
          <w:szCs w:val="28"/>
          <w:lang w:eastAsia="uk-UA"/>
        </w:rPr>
        <w:t>обсягах експорту товарів склала 8</w:t>
      </w:r>
      <w:r w:rsidRPr="003024C6">
        <w:rPr>
          <w:rFonts w:ascii="Times New Roman" w:hAnsi="Times New Roman" w:cs="Times New Roman"/>
          <w:sz w:val="28"/>
          <w:szCs w:val="28"/>
          <w:lang w:eastAsia="uk-UA"/>
        </w:rPr>
        <w:t xml:space="preserve">,6% </w:t>
      </w:r>
      <w:r w:rsidR="0095027C" w:rsidRPr="003024C6">
        <w:rPr>
          <w:rFonts w:ascii="Times New Roman" w:hAnsi="Times New Roman" w:cs="Times New Roman"/>
          <w:sz w:val="28"/>
          <w:szCs w:val="28"/>
          <w:lang w:eastAsia="uk-UA"/>
        </w:rPr>
        <w:t>(3</w:t>
      </w:r>
      <w:r w:rsidRPr="003024C6">
        <w:rPr>
          <w:rFonts w:ascii="Times New Roman" w:hAnsi="Times New Roman" w:cs="Times New Roman"/>
          <w:sz w:val="28"/>
          <w:szCs w:val="28"/>
          <w:lang w:eastAsia="uk-UA"/>
        </w:rPr>
        <w:t>,4% за відповідний період 2022 року та 1,4 % -за січень-вересень 2021 року</w:t>
      </w:r>
      <w:r w:rsidR="0095027C" w:rsidRPr="003024C6">
        <w:rPr>
          <w:rFonts w:ascii="Times New Roman" w:hAnsi="Times New Roman" w:cs="Times New Roman"/>
          <w:sz w:val="28"/>
          <w:szCs w:val="28"/>
          <w:lang w:eastAsia="uk-UA"/>
        </w:rPr>
        <w:t>),</w:t>
      </w:r>
      <w:r w:rsidRPr="003024C6">
        <w:rPr>
          <w:rFonts w:ascii="Times New Roman" w:hAnsi="Times New Roman" w:cs="Times New Roman"/>
          <w:sz w:val="28"/>
          <w:szCs w:val="28"/>
          <w:lang w:eastAsia="uk-UA"/>
        </w:rPr>
        <w:t xml:space="preserve"> імпорту – 2,1% </w:t>
      </w:r>
      <w:r w:rsidR="0095027C" w:rsidRPr="003024C6">
        <w:rPr>
          <w:rFonts w:ascii="Times New Roman" w:hAnsi="Times New Roman" w:cs="Times New Roman"/>
          <w:sz w:val="28"/>
          <w:szCs w:val="28"/>
          <w:lang w:eastAsia="uk-UA"/>
        </w:rPr>
        <w:t>(1</w:t>
      </w:r>
      <w:r w:rsidRPr="003024C6">
        <w:rPr>
          <w:rFonts w:ascii="Times New Roman" w:hAnsi="Times New Roman" w:cs="Times New Roman"/>
          <w:sz w:val="28"/>
          <w:szCs w:val="28"/>
          <w:lang w:eastAsia="uk-UA"/>
        </w:rPr>
        <w:t>,5% за відповідний період 2022 року та 1,0 % -за січень-вересень 2021 року).</w:t>
      </w:r>
    </w:p>
    <w:p w:rsidR="003024C6" w:rsidRPr="003024C6" w:rsidRDefault="003024C6" w:rsidP="0095027C">
      <w:pPr>
        <w:spacing w:line="240" w:lineRule="auto"/>
        <w:ind w:firstLine="708"/>
        <w:jc w:val="both"/>
        <w:rPr>
          <w:rFonts w:ascii="Times New Roman" w:hAnsi="Times New Roman" w:cs="Times New Roman"/>
          <w:sz w:val="28"/>
          <w:szCs w:val="28"/>
          <w:lang w:eastAsia="uk-UA"/>
        </w:rPr>
      </w:pPr>
      <w:r w:rsidRPr="003024C6">
        <w:rPr>
          <w:rFonts w:ascii="Times New Roman" w:hAnsi="Times New Roman" w:cs="Times New Roman"/>
          <w:sz w:val="28"/>
          <w:szCs w:val="28"/>
          <w:lang w:eastAsia="uk-UA"/>
        </w:rPr>
        <w:t>За межі країни переважно відвантажували продукти рослинного походження, деревину і вироби з деревини, продукцію хімічної та пов'язаних з нею галузей промисловості, полімерні матеріали, пластмаси, вироби з них та іншу неметалеву мінеральну продукцію.</w:t>
      </w:r>
    </w:p>
    <w:p w:rsidR="003024C6" w:rsidRPr="00812270" w:rsidRDefault="003024C6" w:rsidP="0095027C">
      <w:pPr>
        <w:spacing w:line="240" w:lineRule="auto"/>
        <w:ind w:firstLine="708"/>
        <w:jc w:val="both"/>
        <w:rPr>
          <w:rFonts w:ascii="Times New Roman" w:eastAsia="Calibri" w:hAnsi="Times New Roman" w:cs="Times New Roman"/>
          <w:b/>
          <w:i/>
          <w:sz w:val="28"/>
          <w:u w:val="single"/>
          <w:lang w:eastAsia="en-US"/>
        </w:rPr>
      </w:pPr>
      <w:r w:rsidRPr="00812270">
        <w:rPr>
          <w:rFonts w:ascii="Times New Roman" w:eastAsia="Calibri" w:hAnsi="Times New Roman" w:cs="Times New Roman"/>
          <w:b/>
          <w:i/>
          <w:sz w:val="28"/>
          <w:u w:val="single"/>
          <w:lang w:eastAsia="en-US"/>
        </w:rPr>
        <w:t xml:space="preserve"> Інвестиційна діяльність</w:t>
      </w:r>
    </w:p>
    <w:p w:rsidR="003024C6" w:rsidRPr="003024C6" w:rsidRDefault="003024C6" w:rsidP="0095027C">
      <w:pPr>
        <w:spacing w:line="240" w:lineRule="auto"/>
        <w:ind w:firstLine="708"/>
        <w:jc w:val="both"/>
        <w:rPr>
          <w:rFonts w:ascii="Times New Roman" w:eastAsia="Calibri" w:hAnsi="Times New Roman" w:cs="Times New Roman"/>
          <w:sz w:val="28"/>
          <w:lang w:eastAsia="en-US"/>
        </w:rPr>
      </w:pPr>
      <w:r w:rsidRPr="003024C6">
        <w:rPr>
          <w:rFonts w:ascii="Times New Roman" w:eastAsia="Calibri" w:hAnsi="Times New Roman" w:cs="Times New Roman"/>
          <w:sz w:val="28"/>
          <w:lang w:eastAsia="en-US"/>
        </w:rPr>
        <w:t>Підприємствами та організаціями громади за рахунок усіх джерел фінансування за січень-вересень 2023 року освоєно 178359,0 тис. грн. капітальних інвестицій проти 67664,0 тис. грн. за аналогічний період минулого року та 101236 тис. грн. за січень-вересень 2021 року (до повномасштабного вторгнення російської федерації на територію України). Частка громади у загальнообласному обсязі капітальних інвестицій також зросла і становила 3,1%.</w:t>
      </w:r>
    </w:p>
    <w:p w:rsidR="003024C6" w:rsidRPr="003024C6" w:rsidRDefault="003024C6" w:rsidP="0095027C">
      <w:pPr>
        <w:spacing w:line="240" w:lineRule="auto"/>
        <w:ind w:firstLine="708"/>
        <w:jc w:val="both"/>
        <w:rPr>
          <w:rFonts w:ascii="Times New Roman" w:eastAsia="Calibri" w:hAnsi="Times New Roman" w:cs="Times New Roman"/>
          <w:sz w:val="28"/>
          <w:lang w:eastAsia="en-US"/>
        </w:rPr>
      </w:pPr>
      <w:r w:rsidRPr="003024C6">
        <w:rPr>
          <w:rFonts w:ascii="Times New Roman" w:eastAsia="Calibri" w:hAnsi="Times New Roman" w:cs="Times New Roman"/>
          <w:sz w:val="28"/>
          <w:lang w:eastAsia="en-US"/>
        </w:rPr>
        <w:t xml:space="preserve">У розрахунку на одну особу зареєстрованого населення обсяг капітальних </w:t>
      </w:r>
      <w:r w:rsidR="0095027C" w:rsidRPr="003024C6">
        <w:rPr>
          <w:rFonts w:ascii="Times New Roman" w:eastAsia="Calibri" w:hAnsi="Times New Roman" w:cs="Times New Roman"/>
          <w:sz w:val="28"/>
          <w:lang w:eastAsia="en-US"/>
        </w:rPr>
        <w:t>інвестицій склав</w:t>
      </w:r>
      <w:r w:rsidRPr="003024C6">
        <w:rPr>
          <w:rFonts w:ascii="Times New Roman" w:eastAsia="Calibri" w:hAnsi="Times New Roman" w:cs="Times New Roman"/>
          <w:sz w:val="28"/>
          <w:lang w:eastAsia="en-US"/>
        </w:rPr>
        <w:t xml:space="preserve"> 5,7 тис. грн. проти 3,2 тис. грн. відповідного періоду 2021 року </w:t>
      </w:r>
      <w:r w:rsidR="0095027C" w:rsidRPr="003024C6">
        <w:rPr>
          <w:rFonts w:ascii="Times New Roman" w:eastAsia="Calibri" w:hAnsi="Times New Roman" w:cs="Times New Roman"/>
          <w:sz w:val="28"/>
          <w:lang w:eastAsia="en-US"/>
        </w:rPr>
        <w:t>(2</w:t>
      </w:r>
      <w:r w:rsidRPr="003024C6">
        <w:rPr>
          <w:rFonts w:ascii="Times New Roman" w:eastAsia="Calibri" w:hAnsi="Times New Roman" w:cs="Times New Roman"/>
          <w:sz w:val="28"/>
          <w:lang w:eastAsia="en-US"/>
        </w:rPr>
        <w:t>,1% за відповідний період 2022 року та 1,8 % -за січень-вересень 2021 року).</w:t>
      </w:r>
    </w:p>
    <w:p w:rsidR="003024C6" w:rsidRPr="003024C6" w:rsidRDefault="003024C6" w:rsidP="0095027C">
      <w:pPr>
        <w:spacing w:line="240" w:lineRule="auto"/>
        <w:ind w:firstLine="708"/>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lang w:eastAsia="en-US"/>
        </w:rPr>
        <w:t xml:space="preserve"> </w:t>
      </w:r>
      <w:r w:rsidRPr="003024C6">
        <w:rPr>
          <w:rFonts w:ascii="Times New Roman" w:eastAsia="Calibri" w:hAnsi="Times New Roman" w:cs="Times New Roman"/>
          <w:sz w:val="28"/>
          <w:szCs w:val="28"/>
          <w:lang w:eastAsia="en-US"/>
        </w:rPr>
        <w:t xml:space="preserve">Щоб залучити додаткові фінансові ресурси з інших джерел фінансування у 2023 році підготовлено та подано 37 проєктів, з них 14- реалізованих. </w:t>
      </w:r>
    </w:p>
    <w:p w:rsidR="003024C6" w:rsidRPr="003024C6" w:rsidRDefault="003024C6" w:rsidP="0095027C">
      <w:pPr>
        <w:spacing w:line="240" w:lineRule="auto"/>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Зокрема це: </w:t>
      </w:r>
    </w:p>
    <w:p w:rsidR="003024C6" w:rsidRPr="003024C6" w:rsidRDefault="003024C6" w:rsidP="0095027C">
      <w:pPr>
        <w:numPr>
          <w:ilvl w:val="0"/>
          <w:numId w:val="4"/>
        </w:numPr>
        <w:spacing w:after="160" w:line="240" w:lineRule="auto"/>
        <w:contextualSpacing/>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Проєкт «Проведення заходів з комплексного енергозбереження культурного центру-клубу бібліотеки в селі Воскресинці» за підтримки Благодійного фонду «МХП</w:t>
      </w:r>
      <w:r w:rsidR="0095027C" w:rsidRPr="003024C6">
        <w:rPr>
          <w:rFonts w:ascii="Times New Roman" w:eastAsia="Calibri" w:hAnsi="Times New Roman" w:cs="Times New Roman"/>
          <w:sz w:val="28"/>
          <w:szCs w:val="28"/>
          <w:lang w:eastAsia="en-US"/>
        </w:rPr>
        <w:t>». Бюджет</w:t>
      </w:r>
      <w:r w:rsidRPr="003024C6">
        <w:rPr>
          <w:rFonts w:ascii="Times New Roman" w:eastAsia="Calibri" w:hAnsi="Times New Roman" w:cs="Times New Roman"/>
          <w:sz w:val="28"/>
          <w:szCs w:val="28"/>
          <w:lang w:eastAsia="en-US"/>
        </w:rPr>
        <w:t xml:space="preserve"> проєкту 100,0 тис.грн.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Проєкт «Нове життя для сільського клубу: «Ремонт та модернізація інфраструктури культурного центру у селі </w:t>
      </w:r>
      <w:r w:rsidR="00954008" w:rsidRPr="003024C6">
        <w:rPr>
          <w:rFonts w:ascii="Times New Roman" w:eastAsia="Calibri" w:hAnsi="Times New Roman" w:cs="Times New Roman"/>
          <w:sz w:val="28"/>
          <w:szCs w:val="28"/>
          <w:lang w:eastAsia="en-US"/>
        </w:rPr>
        <w:t>Вербилівці» за</w:t>
      </w:r>
      <w:r w:rsidRPr="003024C6">
        <w:rPr>
          <w:rFonts w:ascii="Times New Roman" w:eastAsia="Calibri" w:hAnsi="Times New Roman" w:cs="Times New Roman"/>
          <w:sz w:val="28"/>
          <w:szCs w:val="28"/>
          <w:lang w:eastAsia="en-US"/>
        </w:rPr>
        <w:t xml:space="preserve"> підтримки Благодійного фонду «МХП» Загальний </w:t>
      </w:r>
      <w:r w:rsidR="00954008" w:rsidRPr="003024C6">
        <w:rPr>
          <w:rFonts w:ascii="Times New Roman" w:eastAsia="Calibri" w:hAnsi="Times New Roman" w:cs="Times New Roman"/>
          <w:sz w:val="28"/>
          <w:szCs w:val="28"/>
          <w:lang w:eastAsia="en-US"/>
        </w:rPr>
        <w:t>бюджет проєкту</w:t>
      </w:r>
      <w:r w:rsidRPr="003024C6">
        <w:rPr>
          <w:rFonts w:ascii="Times New Roman" w:eastAsia="Calibri" w:hAnsi="Times New Roman" w:cs="Times New Roman"/>
          <w:sz w:val="28"/>
          <w:szCs w:val="28"/>
          <w:lang w:eastAsia="en-US"/>
        </w:rPr>
        <w:t xml:space="preserve"> -  199,0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Проєкт на </w:t>
      </w:r>
      <w:r w:rsidR="00954008" w:rsidRPr="003024C6">
        <w:rPr>
          <w:rFonts w:ascii="Times New Roman" w:eastAsia="Calibri" w:hAnsi="Times New Roman" w:cs="Times New Roman"/>
          <w:sz w:val="28"/>
          <w:szCs w:val="28"/>
          <w:lang w:eastAsia="en-US"/>
        </w:rPr>
        <w:t>конкурс «</w:t>
      </w:r>
      <w:r w:rsidRPr="003024C6">
        <w:rPr>
          <w:rFonts w:ascii="Times New Roman" w:eastAsia="Calibri" w:hAnsi="Times New Roman" w:cs="Times New Roman"/>
          <w:sz w:val="28"/>
          <w:szCs w:val="28"/>
          <w:lang w:eastAsia="en-US"/>
        </w:rPr>
        <w:t xml:space="preserve">СЕЛО МРІЇ» за підтримки Ґудвеллі </w:t>
      </w:r>
      <w:r w:rsidR="00954008" w:rsidRPr="003024C6">
        <w:rPr>
          <w:rFonts w:ascii="Times New Roman" w:eastAsia="Calibri" w:hAnsi="Times New Roman" w:cs="Times New Roman"/>
          <w:sz w:val="28"/>
          <w:szCs w:val="28"/>
          <w:lang w:eastAsia="en-US"/>
        </w:rPr>
        <w:t>Україна «</w:t>
      </w:r>
      <w:r w:rsidRPr="003024C6">
        <w:rPr>
          <w:rFonts w:ascii="Times New Roman" w:eastAsia="Calibri" w:hAnsi="Times New Roman" w:cs="Times New Roman"/>
          <w:sz w:val="28"/>
          <w:szCs w:val="28"/>
          <w:lang w:eastAsia="en-US"/>
        </w:rPr>
        <w:t xml:space="preserve">Створення сучасного освітнього простору у селі </w:t>
      </w:r>
      <w:r w:rsidR="00954008" w:rsidRPr="003024C6">
        <w:rPr>
          <w:rFonts w:ascii="Times New Roman" w:eastAsia="Calibri" w:hAnsi="Times New Roman" w:cs="Times New Roman"/>
          <w:sz w:val="28"/>
          <w:szCs w:val="28"/>
          <w:lang w:eastAsia="en-US"/>
        </w:rPr>
        <w:t>Підгороддя» Бюджет</w:t>
      </w:r>
      <w:r w:rsidRPr="003024C6">
        <w:rPr>
          <w:rFonts w:ascii="Times New Roman" w:eastAsia="Calibri" w:hAnsi="Times New Roman" w:cs="Times New Roman"/>
          <w:sz w:val="28"/>
          <w:szCs w:val="28"/>
          <w:lang w:eastAsia="en-US"/>
        </w:rPr>
        <w:t xml:space="preserve"> проєкту – 73,0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Проєкт на конкурс  «СЕЛО МРІЇ» за підтримки Ґудвеллі Україна «Модернізація сільського клубу у с.Дички». Бюджет проєкту – 70,0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lastRenderedPageBreak/>
        <w:t xml:space="preserve">Проєкт на </w:t>
      </w:r>
      <w:r w:rsidR="00954008" w:rsidRPr="003024C6">
        <w:rPr>
          <w:rFonts w:ascii="Times New Roman" w:eastAsia="Calibri" w:hAnsi="Times New Roman" w:cs="Times New Roman"/>
          <w:sz w:val="28"/>
          <w:szCs w:val="28"/>
          <w:lang w:eastAsia="en-US"/>
        </w:rPr>
        <w:t>конкурс «</w:t>
      </w:r>
      <w:r w:rsidRPr="003024C6">
        <w:rPr>
          <w:rFonts w:ascii="Times New Roman" w:eastAsia="Calibri" w:hAnsi="Times New Roman" w:cs="Times New Roman"/>
          <w:sz w:val="28"/>
          <w:szCs w:val="28"/>
          <w:lang w:eastAsia="en-US"/>
        </w:rPr>
        <w:t>СЕЛО МРІЇ» за підтримки Ґудвеллі Україна «У теплому клубі цікаво і затишно» в селі Яглуш. Бюджет проєкту – 72,0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Проєкт на </w:t>
      </w:r>
      <w:r w:rsidR="00954008" w:rsidRPr="003024C6">
        <w:rPr>
          <w:rFonts w:ascii="Times New Roman" w:eastAsia="Calibri" w:hAnsi="Times New Roman" w:cs="Times New Roman"/>
          <w:sz w:val="28"/>
          <w:szCs w:val="28"/>
          <w:lang w:eastAsia="en-US"/>
        </w:rPr>
        <w:t>конкурс «</w:t>
      </w:r>
      <w:r w:rsidRPr="003024C6">
        <w:rPr>
          <w:rFonts w:ascii="Times New Roman" w:eastAsia="Calibri" w:hAnsi="Times New Roman" w:cs="Times New Roman"/>
          <w:sz w:val="28"/>
          <w:szCs w:val="28"/>
          <w:lang w:eastAsia="en-US"/>
        </w:rPr>
        <w:t>СЕЛО МРІЇ» за підтримки Ґудвеллі Україна «Рухаймось разом: Розвиток спортивної інфраструктури у маленькому селі Перенівка. Бюджет проєкту – 73,0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Проєкт «Волонтерство громадах: виклики та рішення з безпеки в умовах воєнного часу» реалізовується МАОМС «Агенція розвитку ОТГ Прикарпаття» </w:t>
      </w:r>
      <w:r w:rsidR="00954008" w:rsidRPr="003024C6">
        <w:rPr>
          <w:rFonts w:ascii="Times New Roman" w:eastAsia="Calibri" w:hAnsi="Times New Roman" w:cs="Times New Roman"/>
          <w:sz w:val="28"/>
          <w:szCs w:val="28"/>
          <w:lang w:eastAsia="en-US"/>
        </w:rPr>
        <w:t>у меж</w:t>
      </w:r>
      <w:r w:rsidRPr="003024C6">
        <w:rPr>
          <w:rFonts w:ascii="Times New Roman" w:eastAsia="Calibri" w:hAnsi="Times New Roman" w:cs="Times New Roman"/>
          <w:sz w:val="28"/>
          <w:szCs w:val="28"/>
          <w:lang w:eastAsia="en-US"/>
        </w:rPr>
        <w:t xml:space="preserve"> Програми «Спільнодія», яка виконується @Фондом Східна Європа у партнерстві з Українським незалежним центром політичних досліджень.</w:t>
      </w:r>
      <w:r w:rsidRPr="003024C6">
        <w:rPr>
          <w:rFonts w:ascii="Times New Roman" w:eastAsia="Calibri" w:hAnsi="Times New Roman" w:cs="Times New Roman"/>
          <w:lang w:eastAsia="en-US"/>
        </w:rPr>
        <w:t xml:space="preserve"> </w:t>
      </w:r>
      <w:r w:rsidRPr="003024C6">
        <w:rPr>
          <w:rFonts w:ascii="Times New Roman" w:eastAsia="Calibri" w:hAnsi="Times New Roman" w:cs="Times New Roman"/>
          <w:sz w:val="28"/>
          <w:szCs w:val="28"/>
          <w:lang w:eastAsia="en-US"/>
        </w:rPr>
        <w:t>Бюджет проєкту – 120,0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Проєкт від БО БФ Рокада «Створення ігрового простору для гуртка «Школа раннього розвитку» на базі Рогатинського центру дитячої та юнацької творчості». Бюджет проекту 209,6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Проект </w:t>
      </w:r>
      <w:r w:rsidR="00954008" w:rsidRPr="003024C6">
        <w:rPr>
          <w:rFonts w:ascii="Times New Roman" w:eastAsia="Calibri" w:hAnsi="Times New Roman" w:cs="Times New Roman"/>
          <w:sz w:val="28"/>
          <w:szCs w:val="28"/>
          <w:lang w:eastAsia="en-US"/>
        </w:rPr>
        <w:t>DECIDE Міжмуніцмпальне</w:t>
      </w:r>
      <w:r w:rsidRPr="003024C6">
        <w:rPr>
          <w:rFonts w:ascii="Times New Roman" w:eastAsia="Calibri" w:hAnsi="Times New Roman" w:cs="Times New Roman"/>
          <w:sz w:val="28"/>
          <w:szCs w:val="28"/>
          <w:lang w:eastAsia="en-US"/>
        </w:rPr>
        <w:t xml:space="preserve"> співробітництво в сфері освіти. Проект </w:t>
      </w:r>
      <w:r w:rsidR="00954008" w:rsidRPr="003024C6">
        <w:rPr>
          <w:rFonts w:ascii="Times New Roman" w:eastAsia="Calibri" w:hAnsi="Times New Roman" w:cs="Times New Roman"/>
          <w:sz w:val="28"/>
          <w:szCs w:val="28"/>
          <w:lang w:eastAsia="en-US"/>
        </w:rPr>
        <w:t>«Створення</w:t>
      </w:r>
      <w:r w:rsidRPr="003024C6">
        <w:rPr>
          <w:rFonts w:ascii="Times New Roman" w:eastAsia="Calibri" w:hAnsi="Times New Roman" w:cs="Times New Roman"/>
          <w:sz w:val="28"/>
          <w:szCs w:val="28"/>
          <w:lang w:eastAsia="en-US"/>
        </w:rPr>
        <w:t xml:space="preserve"> сенсорної кімнати для КУ Інклюзивно-ресурсний </w:t>
      </w:r>
      <w:r w:rsidR="00954008" w:rsidRPr="003024C6">
        <w:rPr>
          <w:rFonts w:ascii="Times New Roman" w:eastAsia="Calibri" w:hAnsi="Times New Roman" w:cs="Times New Roman"/>
          <w:sz w:val="28"/>
          <w:szCs w:val="28"/>
          <w:lang w:eastAsia="en-US"/>
        </w:rPr>
        <w:t>центр» Бюджет</w:t>
      </w:r>
      <w:r w:rsidRPr="003024C6">
        <w:rPr>
          <w:rFonts w:ascii="Times New Roman" w:eastAsia="Calibri" w:hAnsi="Times New Roman" w:cs="Times New Roman"/>
          <w:sz w:val="28"/>
          <w:szCs w:val="28"/>
          <w:lang w:eastAsia="en-US"/>
        </w:rPr>
        <w:t xml:space="preserve"> </w:t>
      </w:r>
      <w:r w:rsidR="00954008" w:rsidRPr="003024C6">
        <w:rPr>
          <w:rFonts w:ascii="Times New Roman" w:eastAsia="Calibri" w:hAnsi="Times New Roman" w:cs="Times New Roman"/>
          <w:sz w:val="28"/>
          <w:szCs w:val="28"/>
          <w:lang w:eastAsia="en-US"/>
        </w:rPr>
        <w:t>проекту 130</w:t>
      </w:r>
      <w:r w:rsidRPr="003024C6">
        <w:rPr>
          <w:rFonts w:ascii="Times New Roman" w:eastAsia="Calibri" w:hAnsi="Times New Roman" w:cs="Times New Roman"/>
          <w:sz w:val="28"/>
          <w:szCs w:val="28"/>
          <w:lang w:eastAsia="en-US"/>
        </w:rPr>
        <w:t>,0 тис. грн.</w:t>
      </w:r>
    </w:p>
    <w:p w:rsidR="003024C6" w:rsidRPr="003024C6" w:rsidRDefault="00954008"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Реалізовано українсько</w:t>
      </w:r>
      <w:r w:rsidR="003024C6" w:rsidRPr="003024C6">
        <w:rPr>
          <w:rFonts w:ascii="Times New Roman" w:eastAsia="Calibri" w:hAnsi="Times New Roman" w:cs="Times New Roman"/>
          <w:sz w:val="28"/>
          <w:szCs w:val="28"/>
          <w:lang w:eastAsia="en-US"/>
        </w:rPr>
        <w:t>-польського проекту обміну молоддю "Людина+Лялька=Театр";</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«ProAction - Покращення доступу до житла, освіти та якісних соціальних послуг для дітей та сімей в Україні» за </w:t>
      </w:r>
      <w:r w:rsidR="00954008" w:rsidRPr="003024C6">
        <w:rPr>
          <w:rFonts w:ascii="Times New Roman" w:eastAsia="Calibri" w:hAnsi="Times New Roman" w:cs="Times New Roman"/>
          <w:sz w:val="28"/>
          <w:szCs w:val="28"/>
          <w:lang w:eastAsia="en-US"/>
        </w:rPr>
        <w:t>підтримки швейцарського фонду Terre</w:t>
      </w:r>
      <w:r w:rsidRPr="003024C6">
        <w:rPr>
          <w:rFonts w:ascii="Times New Roman" w:eastAsia="Calibri" w:hAnsi="Times New Roman" w:cs="Times New Roman"/>
          <w:sz w:val="28"/>
          <w:szCs w:val="28"/>
          <w:lang w:eastAsia="en-US"/>
        </w:rPr>
        <w:t xml:space="preserve"> des hommes «Освітній </w:t>
      </w:r>
      <w:r w:rsidR="00954008" w:rsidRPr="003024C6">
        <w:rPr>
          <w:rFonts w:ascii="Times New Roman" w:eastAsia="Calibri" w:hAnsi="Times New Roman" w:cs="Times New Roman"/>
          <w:sz w:val="28"/>
          <w:szCs w:val="28"/>
          <w:lang w:eastAsia="en-US"/>
        </w:rPr>
        <w:t>простір у</w:t>
      </w:r>
      <w:r w:rsidRPr="003024C6">
        <w:rPr>
          <w:rFonts w:ascii="Times New Roman" w:eastAsia="Calibri" w:hAnsi="Times New Roman" w:cs="Times New Roman"/>
          <w:sz w:val="28"/>
          <w:szCs w:val="28"/>
          <w:lang w:eastAsia="en-US"/>
        </w:rPr>
        <w:t xml:space="preserve"> Центрі дитячої та юнацької творчості». Бюджет проекту 383,1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«ProAction - Покращення доступу до житла, освіти та якісних соціальних послуг для дітей та сімей в Україні» за </w:t>
      </w:r>
      <w:r w:rsidR="00954008" w:rsidRPr="003024C6">
        <w:rPr>
          <w:rFonts w:ascii="Times New Roman" w:eastAsia="Calibri" w:hAnsi="Times New Roman" w:cs="Times New Roman"/>
          <w:sz w:val="28"/>
          <w:szCs w:val="28"/>
          <w:lang w:eastAsia="en-US"/>
        </w:rPr>
        <w:t>підтримки швейцарського фонду Terre</w:t>
      </w:r>
      <w:r w:rsidRPr="003024C6">
        <w:rPr>
          <w:rFonts w:ascii="Times New Roman" w:eastAsia="Calibri" w:hAnsi="Times New Roman" w:cs="Times New Roman"/>
          <w:sz w:val="28"/>
          <w:szCs w:val="28"/>
          <w:lang w:eastAsia="en-US"/>
        </w:rPr>
        <w:t xml:space="preserve"> des </w:t>
      </w:r>
      <w:r w:rsidR="00954008" w:rsidRPr="003024C6">
        <w:rPr>
          <w:rFonts w:ascii="Times New Roman" w:eastAsia="Calibri" w:hAnsi="Times New Roman" w:cs="Times New Roman"/>
          <w:sz w:val="28"/>
          <w:szCs w:val="28"/>
          <w:lang w:eastAsia="en-US"/>
        </w:rPr>
        <w:t>hommes»</w:t>
      </w:r>
      <w:r w:rsidRPr="003024C6">
        <w:rPr>
          <w:rFonts w:ascii="Times New Roman" w:eastAsia="Calibri" w:hAnsi="Times New Roman" w:cs="Times New Roman"/>
          <w:sz w:val="28"/>
          <w:szCs w:val="28"/>
          <w:lang w:eastAsia="en-US"/>
        </w:rPr>
        <w:t xml:space="preserve">.  Проект </w:t>
      </w:r>
      <w:r w:rsidR="00954008" w:rsidRPr="003024C6">
        <w:rPr>
          <w:rFonts w:ascii="Times New Roman" w:eastAsia="Calibri" w:hAnsi="Times New Roman" w:cs="Times New Roman"/>
          <w:sz w:val="28"/>
          <w:szCs w:val="28"/>
          <w:lang w:eastAsia="en-US"/>
        </w:rPr>
        <w:t>«Створення</w:t>
      </w:r>
      <w:r w:rsidRPr="003024C6">
        <w:rPr>
          <w:rFonts w:ascii="Times New Roman" w:eastAsia="Calibri" w:hAnsi="Times New Roman" w:cs="Times New Roman"/>
          <w:sz w:val="28"/>
          <w:szCs w:val="28"/>
          <w:lang w:eastAsia="en-US"/>
        </w:rPr>
        <w:t xml:space="preserve"> кімнати освітнього простору у Рогатинському ліцеї №2» Бюджет проекту   76,0 тис. грн.</w:t>
      </w:r>
    </w:p>
    <w:p w:rsidR="003024C6" w:rsidRPr="003024C6" w:rsidRDefault="003024C6" w:rsidP="0095027C">
      <w:pPr>
        <w:numPr>
          <w:ilvl w:val="0"/>
          <w:numId w:val="4"/>
        </w:numPr>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Участь у програмі “Міні-гранти для спільнот та груп людей, які готові вирішувати проблеми громади спричинені кризою” (SCLR), яку реалізовує Угорська Екуменічна Служба Допомоги (</w:t>
      </w:r>
      <w:r w:rsidR="00954008" w:rsidRPr="003024C6">
        <w:rPr>
          <w:rFonts w:ascii="Times New Roman" w:eastAsia="Calibri" w:hAnsi="Times New Roman" w:cs="Times New Roman"/>
          <w:sz w:val="28"/>
          <w:szCs w:val="28"/>
          <w:lang w:eastAsia="en-US"/>
        </w:rPr>
        <w:t>УЕСД) Проект</w:t>
      </w:r>
      <w:r w:rsidRPr="003024C6">
        <w:rPr>
          <w:rFonts w:ascii="Times New Roman" w:eastAsia="Calibri" w:hAnsi="Times New Roman" w:cs="Times New Roman"/>
          <w:sz w:val="28"/>
          <w:szCs w:val="28"/>
          <w:lang w:eastAsia="en-US"/>
        </w:rPr>
        <w:t xml:space="preserve"> «Соціальна мобільність: електровелосипедами до допомоги» </w:t>
      </w:r>
      <w:r w:rsidR="00954008" w:rsidRPr="003024C6">
        <w:rPr>
          <w:rFonts w:ascii="Times New Roman" w:eastAsia="Calibri" w:hAnsi="Times New Roman" w:cs="Times New Roman"/>
          <w:sz w:val="28"/>
          <w:szCs w:val="28"/>
          <w:lang w:eastAsia="en-US"/>
        </w:rPr>
        <w:t>для соціальних</w:t>
      </w:r>
      <w:r w:rsidRPr="003024C6">
        <w:rPr>
          <w:rFonts w:ascii="Times New Roman" w:eastAsia="Calibri" w:hAnsi="Times New Roman" w:cs="Times New Roman"/>
          <w:sz w:val="28"/>
          <w:szCs w:val="28"/>
          <w:lang w:eastAsia="en-US"/>
        </w:rPr>
        <w:t xml:space="preserve"> робітників КУ «Центр соціальних служб».  Бюджет проекту- 165,4 тис. грн.</w:t>
      </w:r>
    </w:p>
    <w:p w:rsidR="003024C6" w:rsidRPr="003024C6" w:rsidRDefault="003024C6" w:rsidP="0095027C">
      <w:pPr>
        <w:numPr>
          <w:ilvl w:val="0"/>
          <w:numId w:val="4"/>
        </w:numPr>
        <w:spacing w:after="160" w:line="240" w:lineRule="auto"/>
        <w:contextualSpacing/>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 </w:t>
      </w:r>
      <w:r w:rsidR="00954008" w:rsidRPr="003024C6">
        <w:rPr>
          <w:rFonts w:ascii="Times New Roman" w:eastAsia="Calibri" w:hAnsi="Times New Roman" w:cs="Times New Roman"/>
          <w:sz w:val="28"/>
          <w:szCs w:val="28"/>
          <w:lang w:eastAsia="en-US"/>
        </w:rPr>
        <w:t>Проєкт «</w:t>
      </w:r>
      <w:r w:rsidRPr="003024C6">
        <w:rPr>
          <w:rFonts w:ascii="Times New Roman" w:eastAsia="Calibri" w:hAnsi="Times New Roman" w:cs="Times New Roman"/>
          <w:sz w:val="28"/>
          <w:szCs w:val="28"/>
          <w:lang w:eastAsia="en-US"/>
        </w:rPr>
        <w:t xml:space="preserve">Захист та психосоціальна підтримка постраждалих від війни дітей та сімей в </w:t>
      </w:r>
      <w:r w:rsidR="00954008" w:rsidRPr="003024C6">
        <w:rPr>
          <w:rFonts w:ascii="Times New Roman" w:eastAsia="Calibri" w:hAnsi="Times New Roman" w:cs="Times New Roman"/>
          <w:sz w:val="28"/>
          <w:szCs w:val="28"/>
          <w:lang w:eastAsia="en-US"/>
        </w:rPr>
        <w:t>Україні» (ліцей</w:t>
      </w:r>
      <w:r w:rsidRPr="003024C6">
        <w:rPr>
          <w:rFonts w:ascii="Times New Roman" w:eastAsia="Calibri" w:hAnsi="Times New Roman" w:cs="Times New Roman"/>
          <w:sz w:val="28"/>
          <w:szCs w:val="28"/>
          <w:lang w:eastAsia="en-US"/>
        </w:rPr>
        <w:t xml:space="preserve"> №1) за фінансування Tierra de hombres Espana </w:t>
      </w:r>
      <w:r w:rsidR="00954008" w:rsidRPr="003024C6">
        <w:rPr>
          <w:rFonts w:ascii="Times New Roman" w:eastAsia="Calibri" w:hAnsi="Times New Roman" w:cs="Times New Roman"/>
          <w:sz w:val="28"/>
          <w:szCs w:val="28"/>
          <w:lang w:eastAsia="en-US"/>
        </w:rPr>
        <w:t>та Xunta</w:t>
      </w:r>
      <w:r w:rsidRPr="003024C6">
        <w:rPr>
          <w:rFonts w:ascii="Times New Roman" w:eastAsia="Calibri" w:hAnsi="Times New Roman" w:cs="Times New Roman"/>
          <w:sz w:val="28"/>
          <w:szCs w:val="28"/>
          <w:lang w:eastAsia="en-US"/>
        </w:rPr>
        <w:t xml:space="preserve"> de Galicia. Бюджет проєкту- 300,0 тис. грн.   </w:t>
      </w:r>
    </w:p>
    <w:p w:rsidR="003024C6" w:rsidRPr="003024C6" w:rsidRDefault="003024C6" w:rsidP="0095027C">
      <w:pPr>
        <w:spacing w:after="160" w:line="240" w:lineRule="auto"/>
        <w:ind w:firstLine="850"/>
        <w:contextualSpacing/>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Загальна сума залучених коштів від проєктної діяльності за 2023 рік- 1971,0 тис.  грн.</w:t>
      </w:r>
    </w:p>
    <w:p w:rsidR="003024C6" w:rsidRPr="00812270" w:rsidRDefault="003024C6" w:rsidP="0095027C">
      <w:pPr>
        <w:spacing w:line="240" w:lineRule="auto"/>
        <w:ind w:firstLine="567"/>
        <w:rPr>
          <w:rFonts w:ascii="Times New Roman" w:eastAsia="Calibri" w:hAnsi="Times New Roman" w:cs="Times New Roman"/>
          <w:b/>
          <w:i/>
          <w:sz w:val="28"/>
          <w:szCs w:val="28"/>
          <w:u w:val="single"/>
          <w:lang w:eastAsia="en-US"/>
        </w:rPr>
      </w:pPr>
      <w:r w:rsidRPr="00812270">
        <w:rPr>
          <w:rFonts w:ascii="Times New Roman" w:eastAsia="Calibri" w:hAnsi="Times New Roman" w:cs="Times New Roman"/>
          <w:b/>
          <w:i/>
          <w:sz w:val="28"/>
          <w:szCs w:val="28"/>
          <w:u w:val="single"/>
          <w:lang w:eastAsia="en-US"/>
        </w:rPr>
        <w:t>Сільське господарство громади за 2023 рік</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Загальна площа земельного фонду Рогатинської міської територіальної громади усього становить 63 476,4000 га, із них рілля - 33 553,6447 га.</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31 травня 2022 року на засіданні виконавчого комітету Рогатинської міської ради затверджено Програму підтримки самозабезпечення Рогатинської міської територіальної громади харчовими продуктами на 2022-2024 роки «Сади Перемоги», реалізація якої сприятиме вирощенню достатньої кількості необхідного врожаю сільськогосподарських культур, що  дозволить найбільш </w:t>
      </w:r>
      <w:r w:rsidRPr="003024C6">
        <w:rPr>
          <w:rFonts w:ascii="Times New Roman" w:eastAsia="Calibri" w:hAnsi="Times New Roman" w:cs="Times New Roman"/>
          <w:sz w:val="28"/>
          <w:szCs w:val="28"/>
          <w:lang w:eastAsia="en-US"/>
        </w:rPr>
        <w:lastRenderedPageBreak/>
        <w:t>повно забезпечити нормативні потреби у продуктах харчування домогосподарств, ВПО, соціальних комунальних закладів та надати допомогу у забезпеченні продуктами харчування Збройних Сил України у період війни та повоєнний період.</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 та спеціалізуються в основному на вирощуванні зернових культур, а також вирощуванні та утриманні ВРХ та свиней. Найпотужнішими агроформуваннями громади є: СГТзОВ «Уїзд», СФГ «Надія», ТОВ «Свірж</w:t>
      </w:r>
      <w:r w:rsidR="00954008" w:rsidRPr="003024C6">
        <w:rPr>
          <w:rFonts w:ascii="Times New Roman" w:eastAsia="Calibri" w:hAnsi="Times New Roman" w:cs="Times New Roman"/>
          <w:sz w:val="28"/>
          <w:szCs w:val="28"/>
          <w:lang w:eastAsia="en-US"/>
        </w:rPr>
        <w:t>»</w:t>
      </w:r>
      <w:r w:rsidR="00954008">
        <w:rPr>
          <w:rFonts w:ascii="Times New Roman" w:eastAsia="Calibri" w:hAnsi="Times New Roman" w:cs="Times New Roman"/>
          <w:sz w:val="28"/>
          <w:szCs w:val="28"/>
          <w:lang w:val="uk-UA" w:eastAsia="en-US"/>
        </w:rPr>
        <w:t>, СФГ</w:t>
      </w:r>
      <w:r w:rsidRPr="003024C6">
        <w:rPr>
          <w:rFonts w:ascii="Times New Roman" w:eastAsia="Calibri" w:hAnsi="Times New Roman" w:cs="Times New Roman"/>
          <w:sz w:val="28"/>
          <w:szCs w:val="28"/>
          <w:lang w:eastAsia="en-US"/>
        </w:rPr>
        <w:t xml:space="preserve"> «Ігора Валька», ФГ «Персей Агро», ТОВ «Захід-Агро МХП», СФГ «Лен-Пром», ТОВ «Колос Опілля», ТОВ «Фруктово-Трейд», СГВК ім.М.Грушевського», ФГ</w:t>
      </w:r>
      <w:r w:rsidR="0095027C">
        <w:rPr>
          <w:rFonts w:ascii="Times New Roman" w:eastAsia="Calibri" w:hAnsi="Times New Roman" w:cs="Times New Roman"/>
          <w:sz w:val="28"/>
          <w:szCs w:val="28"/>
          <w:lang w:val="uk-UA" w:eastAsia="en-US"/>
        </w:rPr>
        <w:t xml:space="preserve"> </w:t>
      </w:r>
      <w:r w:rsidRPr="003024C6">
        <w:rPr>
          <w:rFonts w:ascii="Times New Roman" w:eastAsia="Calibri" w:hAnsi="Times New Roman" w:cs="Times New Roman"/>
          <w:sz w:val="28"/>
          <w:szCs w:val="28"/>
          <w:lang w:eastAsia="en-US"/>
        </w:rPr>
        <w:t>«Шиманський», ТОВ</w:t>
      </w:r>
      <w:r w:rsidR="0095027C">
        <w:rPr>
          <w:rFonts w:ascii="Times New Roman" w:eastAsia="Calibri" w:hAnsi="Times New Roman" w:cs="Times New Roman"/>
          <w:sz w:val="28"/>
          <w:szCs w:val="28"/>
          <w:lang w:val="uk-UA" w:eastAsia="en-US"/>
        </w:rPr>
        <w:t xml:space="preserve"> </w:t>
      </w:r>
      <w:r w:rsidRPr="003024C6">
        <w:rPr>
          <w:rFonts w:ascii="Times New Roman" w:eastAsia="Calibri" w:hAnsi="Times New Roman" w:cs="Times New Roman"/>
          <w:sz w:val="28"/>
          <w:szCs w:val="28"/>
          <w:lang w:eastAsia="en-US"/>
        </w:rPr>
        <w:t>«Агрокомпанія «Прикарпаття», ТзОВ «</w:t>
      </w:r>
      <w:r w:rsidRPr="003024C6">
        <w:rPr>
          <w:rFonts w:ascii="Times New Roman" w:eastAsia="Calibri" w:hAnsi="Times New Roman" w:cs="Times New Roman"/>
          <w:sz w:val="28"/>
          <w:szCs w:val="28"/>
          <w:shd w:val="clear" w:color="auto" w:fill="FFFFFF"/>
          <w:lang w:eastAsia="en-US"/>
        </w:rPr>
        <w:t>Ґудвеллі Україна»,</w:t>
      </w:r>
      <w:r w:rsidR="0095027C">
        <w:rPr>
          <w:rFonts w:ascii="Times New Roman" w:eastAsia="Calibri" w:hAnsi="Times New Roman" w:cs="Times New Roman"/>
          <w:sz w:val="28"/>
          <w:szCs w:val="28"/>
          <w:shd w:val="clear" w:color="auto" w:fill="FFFFFF"/>
          <w:lang w:val="uk-UA" w:eastAsia="en-US"/>
        </w:rPr>
        <w:t xml:space="preserve"> </w:t>
      </w:r>
      <w:r w:rsidRPr="003024C6">
        <w:rPr>
          <w:rFonts w:ascii="Times New Roman" w:eastAsia="Calibri" w:hAnsi="Times New Roman" w:cs="Times New Roman"/>
          <w:sz w:val="28"/>
          <w:szCs w:val="28"/>
          <w:lang w:eastAsia="en-US"/>
        </w:rPr>
        <w:t xml:space="preserve">ТОВ «Бачів Агро», </w:t>
      </w:r>
      <w:r w:rsidRPr="003024C6">
        <w:rPr>
          <w:rFonts w:ascii="Times New Roman" w:eastAsia="Calibri" w:hAnsi="Times New Roman" w:cs="Times New Roman"/>
          <w:sz w:val="28"/>
          <w:szCs w:val="28"/>
          <w:shd w:val="clear" w:color="auto" w:fill="FFFFFF"/>
          <w:lang w:eastAsia="en-US"/>
        </w:rPr>
        <w:t xml:space="preserve">ТзОВ «Агропартнер ЮА», </w:t>
      </w:r>
      <w:r w:rsidRPr="003024C6">
        <w:rPr>
          <w:rFonts w:ascii="Times New Roman" w:eastAsia="Calibri" w:hAnsi="Times New Roman" w:cs="Times New Roman"/>
          <w:sz w:val="28"/>
          <w:szCs w:val="28"/>
          <w:lang w:eastAsia="en-US"/>
        </w:rPr>
        <w:t>СФГ «Бурачок Віктора».</w:t>
      </w:r>
    </w:p>
    <w:p w:rsidR="003024C6" w:rsidRPr="003024C6" w:rsidRDefault="003024C6" w:rsidP="0095027C">
      <w:pPr>
        <w:spacing w:line="240" w:lineRule="auto"/>
        <w:ind w:firstLine="567"/>
        <w:jc w:val="both"/>
        <w:rPr>
          <w:rFonts w:ascii="Times New Roman" w:eastAsia="Calibri" w:hAnsi="Times New Roman" w:cs="Times New Roman"/>
          <w:color w:val="000000"/>
          <w:sz w:val="28"/>
          <w:szCs w:val="28"/>
          <w:lang w:eastAsia="en-US"/>
        </w:rPr>
      </w:pPr>
      <w:r w:rsidRPr="003024C6">
        <w:rPr>
          <w:rFonts w:ascii="Times New Roman" w:eastAsia="Calibri" w:hAnsi="Times New Roman" w:cs="Times New Roman"/>
          <w:color w:val="000000"/>
          <w:sz w:val="28"/>
          <w:szCs w:val="28"/>
          <w:lang w:eastAsia="en-US"/>
        </w:rPr>
        <w:t>У галузевій структурі сільського господарства Рогатинської міської територіальної громади провідне місце належить рослинництву та тваринництву.</w:t>
      </w:r>
    </w:p>
    <w:p w:rsidR="003024C6" w:rsidRPr="003024C6" w:rsidRDefault="003024C6" w:rsidP="0095027C">
      <w:pPr>
        <w:spacing w:line="240" w:lineRule="auto"/>
        <w:ind w:firstLine="567"/>
        <w:jc w:val="both"/>
        <w:rPr>
          <w:rFonts w:ascii="Times New Roman" w:eastAsia="Calibri" w:hAnsi="Times New Roman" w:cs="Times New Roman"/>
          <w:color w:val="202122"/>
          <w:sz w:val="28"/>
          <w:szCs w:val="28"/>
          <w:shd w:val="clear" w:color="auto" w:fill="FFFFFF"/>
          <w:lang w:eastAsia="en-US"/>
        </w:rPr>
      </w:pPr>
      <w:r w:rsidRPr="003024C6">
        <w:rPr>
          <w:rFonts w:ascii="Times New Roman" w:eastAsia="Calibri" w:hAnsi="Times New Roman" w:cs="Times New Roman"/>
          <w:sz w:val="28"/>
          <w:szCs w:val="28"/>
          <w:lang w:eastAsia="en-US"/>
        </w:rPr>
        <w:t>Застосування новітніх технологій вирощування сільськогосподарських культур, посів високоякісним насінням, використання нової сучасної техніки дало можливість підвищити якість врожаїв. В умовах поточного року сільгосппідприємствами за статистичними даними зібрано 24289,18 т пшениці з площі 4523,0 га при середній врожайності 53,7 ц/га, 3711,98 т ячменю з площі 675,0 га – 55,0 ц/га, 274,75 т кукурудзи з площі 2747,5 га – 108,5 ц/га, 3178,88 т соняшника з площі 947,3 га – 33,6 ц/га, 20046,28 т сої з площі 5831,4 га – 34,4 ц/га, 20046,28 т ріпаку з площі 5831,4 га – 34,4 ц/га, 500,0 т картоплі з площі 20,0 га - 250,0 ц/га, 865,0 т овочів з площі 40,0 га – 216,3 ц/га.</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За оперативними даними у сільгосппідприємствах, які займаються вирощуванням сільськогосподарських культур на території громади, посівна площа озимих сільськогосподарських культур під урожай 2024 року склала 6199 га, що на 4,01% менше, ніж у 2023 році (6458,2 га): озима пшениця – 2356,0 га, озимий ячмінь – 200,0 га, озиме жито – 233,0 га, озимий ріпак –23410,0 га.</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Підприємствами, які займаються виробництвом продукції тваринництва на території громади є ТзОВ «</w:t>
      </w:r>
      <w:r w:rsidRPr="003024C6">
        <w:rPr>
          <w:rFonts w:ascii="Times New Roman" w:eastAsia="Calibri" w:hAnsi="Times New Roman" w:cs="Times New Roman"/>
          <w:sz w:val="28"/>
          <w:szCs w:val="28"/>
          <w:shd w:val="clear" w:color="auto" w:fill="FFFFFF"/>
          <w:lang w:eastAsia="en-US"/>
        </w:rPr>
        <w:t xml:space="preserve">Ґудвеллі Україна», </w:t>
      </w:r>
      <w:r w:rsidRPr="003024C6">
        <w:rPr>
          <w:rFonts w:ascii="Times New Roman" w:eastAsia="Calibri" w:hAnsi="Times New Roman" w:cs="Times New Roman"/>
          <w:sz w:val="28"/>
          <w:szCs w:val="28"/>
          <w:lang w:eastAsia="en-US"/>
        </w:rPr>
        <w:t>СГВК ім.М.Грушевського», СГТзОВ «Уїзд», СФГ «Бурачок Віктора», СФГ «Надія». На території громади 27 домогосподарств утримують від трьох і більше корів (всього 144 ВРХ), в яких наявні 8 установок індивідуального доїння.</w:t>
      </w:r>
    </w:p>
    <w:p w:rsidR="003024C6" w:rsidRPr="003024C6" w:rsidRDefault="003024C6" w:rsidP="0095027C">
      <w:pPr>
        <w:spacing w:line="240" w:lineRule="auto"/>
        <w:ind w:firstLine="567"/>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Кількість сільськогосподарських тварин у 2023 році:</w:t>
      </w:r>
    </w:p>
    <w:p w:rsidR="003024C6" w:rsidRPr="003024C6" w:rsidRDefault="003024C6" w:rsidP="0095027C">
      <w:pPr>
        <w:widowControl w:val="0"/>
        <w:suppressLineNumbers/>
        <w:suppressAutoHyphens/>
        <w:spacing w:line="240" w:lineRule="auto"/>
        <w:ind w:left="113"/>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у сільськогосподарських підприємствах громади: велика рогата худоба — 1893 шт., у т.ч. корови — 913 шт., свині - 24304 шт.;</w:t>
      </w:r>
    </w:p>
    <w:p w:rsidR="003024C6" w:rsidRPr="003024C6" w:rsidRDefault="003024C6" w:rsidP="0095027C">
      <w:pPr>
        <w:widowControl w:val="0"/>
        <w:suppressLineNumbers/>
        <w:suppressAutoHyphens/>
        <w:spacing w:line="240" w:lineRule="auto"/>
        <w:ind w:left="113"/>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у приватних домогосподарствах громади: велика рогата худоба – 1415шт., у т.ч. корови – 1023шт., свині – 3345 шт., вівці – 70 шт., кози – 489 шт., коні – 410 шт.</w:t>
      </w:r>
    </w:p>
    <w:p w:rsidR="003024C6" w:rsidRPr="003024C6" w:rsidRDefault="003024C6" w:rsidP="0095027C">
      <w:pPr>
        <w:widowControl w:val="0"/>
        <w:suppressLineNumbers/>
        <w:suppressAutoHyphens/>
        <w:spacing w:line="240" w:lineRule="auto"/>
        <w:ind w:left="113"/>
        <w:jc w:val="both"/>
        <w:rPr>
          <w:rFonts w:ascii="Times New Roman" w:eastAsia="Calibri" w:hAnsi="Times New Roman" w:cs="Times New Roman"/>
          <w:sz w:val="28"/>
          <w:szCs w:val="28"/>
        </w:rPr>
      </w:pPr>
      <w:r w:rsidRPr="003024C6">
        <w:rPr>
          <w:rFonts w:ascii="Times New Roman" w:eastAsia="Calibri" w:hAnsi="Times New Roman" w:cs="Times New Roman"/>
          <w:sz w:val="28"/>
          <w:szCs w:val="28"/>
          <w:lang w:eastAsia="en-US"/>
        </w:rPr>
        <w:t xml:space="preserve">        Аквакультурою (риборозведенням) на території громади займаються 13 </w:t>
      </w:r>
      <w:r w:rsidRPr="003024C6">
        <w:rPr>
          <w:rFonts w:ascii="Times New Roman" w:eastAsia="Calibri" w:hAnsi="Times New Roman" w:cs="Times New Roman"/>
          <w:sz w:val="28"/>
          <w:szCs w:val="28"/>
          <w:lang w:eastAsia="en-US"/>
        </w:rPr>
        <w:lastRenderedPageBreak/>
        <w:t xml:space="preserve">суб’єктів господарювання, Основними є: </w:t>
      </w:r>
      <w:r w:rsidRPr="003024C6">
        <w:rPr>
          <w:rFonts w:ascii="Times New Roman" w:eastAsia="Calibri" w:hAnsi="Times New Roman" w:cs="Times New Roman"/>
          <w:sz w:val="28"/>
          <w:szCs w:val="28"/>
        </w:rPr>
        <w:t>ФГ «Бирич», СФГ «Лен-Пром», СФГ «Ярослав», ФГ «Малецький Василь», ФГ «Агро-Стандарт», СФГ «Лівчицького Я.В.» та ТОВ «Колективне сільськогосподарське підприємство Рибгосп «Княгиничі».</w:t>
      </w:r>
    </w:p>
    <w:p w:rsidR="003024C6" w:rsidRPr="003024C6" w:rsidRDefault="003024C6" w:rsidP="0095027C">
      <w:pPr>
        <w:widowControl w:val="0"/>
        <w:suppressLineNumbers/>
        <w:suppressAutoHyphens/>
        <w:spacing w:line="240" w:lineRule="auto"/>
        <w:ind w:left="113"/>
        <w:jc w:val="both"/>
        <w:rPr>
          <w:rFonts w:ascii="Times New Roman" w:eastAsia="Calibri" w:hAnsi="Times New Roman" w:cs="Times New Roman"/>
          <w:sz w:val="28"/>
          <w:szCs w:val="28"/>
        </w:rPr>
      </w:pPr>
      <w:r w:rsidRPr="003024C6">
        <w:rPr>
          <w:rFonts w:ascii="Times New Roman" w:eastAsia="Calibri" w:hAnsi="Times New Roman" w:cs="Times New Roman"/>
          <w:sz w:val="28"/>
          <w:szCs w:val="28"/>
        </w:rPr>
        <w:t xml:space="preserve">        Сільськогосподарські підприємства громади протягом 2023 року скористались такими програмами підтримки агровиробників:</w:t>
      </w:r>
    </w:p>
    <w:p w:rsidR="003024C6" w:rsidRPr="003024C6" w:rsidRDefault="003024C6" w:rsidP="0095027C">
      <w:pPr>
        <w:suppressAutoHyphens/>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 xml:space="preserve">через систему ДАР - </w:t>
      </w:r>
      <w:r w:rsidRPr="003024C6">
        <w:rPr>
          <w:rFonts w:ascii="Times New Roman" w:eastAsia="Calibri" w:hAnsi="Times New Roman" w:cs="Times New Roman"/>
          <w:color w:val="000000"/>
          <w:sz w:val="28"/>
          <w:szCs w:val="28"/>
          <w:shd w:val="clear" w:color="auto" w:fill="FFFFFF"/>
          <w:lang w:eastAsia="en-US"/>
        </w:rPr>
        <w:t>для забезпечення продовольчої безпеки</w:t>
      </w:r>
      <w:r w:rsidRPr="003024C6">
        <w:rPr>
          <w:rFonts w:ascii="Times New Roman" w:eastAsia="Calibri" w:hAnsi="Times New Roman" w:cs="Times New Roman"/>
          <w:sz w:val="28"/>
          <w:szCs w:val="28"/>
          <w:lang w:eastAsia="en-US"/>
        </w:rPr>
        <w:t xml:space="preserve"> </w:t>
      </w:r>
      <w:r w:rsidRPr="003024C6">
        <w:rPr>
          <w:rFonts w:ascii="Times New Roman" w:eastAsia="Calibri" w:hAnsi="Times New Roman" w:cs="Times New Roman"/>
          <w:color w:val="000000"/>
          <w:sz w:val="28"/>
          <w:szCs w:val="28"/>
          <w:shd w:val="clear" w:color="auto" w:fill="FFFFFF"/>
          <w:lang w:eastAsia="en-US"/>
        </w:rPr>
        <w:t>USAID з аграрного та сільського розвитку (АГРО) у співпраці з Міністерством аграрної політики та продовольства України надали насіння соняшника та мінеральні добрива для ярих і озимих культур;</w:t>
      </w:r>
    </w:p>
    <w:p w:rsidR="003024C6" w:rsidRPr="003024C6" w:rsidRDefault="003024C6" w:rsidP="0095027C">
      <w:pPr>
        <w:suppressAutoHyphens/>
        <w:spacing w:after="160" w:line="240" w:lineRule="auto"/>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через портал “Дія”, шляхом заповнення заявки на отримання безповоротного мікрогранту:</w:t>
      </w:r>
    </w:p>
    <w:p w:rsidR="003024C6" w:rsidRPr="003024C6" w:rsidRDefault="003024C6" w:rsidP="0095027C">
      <w:pPr>
        <w:numPr>
          <w:ilvl w:val="0"/>
          <w:numId w:val="5"/>
        </w:numPr>
        <w:suppressAutoHyphens/>
        <w:spacing w:after="160" w:line="240" w:lineRule="auto"/>
        <w:ind w:firstLine="426"/>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на створення або розвиток власного бізнесу «Своя справа»;</w:t>
      </w:r>
    </w:p>
    <w:p w:rsidR="003024C6" w:rsidRPr="003024C6" w:rsidRDefault="003024C6" w:rsidP="0095027C">
      <w:pPr>
        <w:numPr>
          <w:ilvl w:val="0"/>
          <w:numId w:val="5"/>
        </w:numPr>
        <w:suppressAutoHyphens/>
        <w:spacing w:after="160" w:line="240" w:lineRule="auto"/>
        <w:ind w:firstLine="426"/>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на створення або розвиток переробних підприємств «Новий рівень»;</w:t>
      </w:r>
    </w:p>
    <w:p w:rsidR="003024C6" w:rsidRPr="003024C6" w:rsidRDefault="003024C6" w:rsidP="0095027C">
      <w:pPr>
        <w:numPr>
          <w:ilvl w:val="0"/>
          <w:numId w:val="5"/>
        </w:numPr>
        <w:suppressAutoHyphens/>
        <w:spacing w:after="160" w:line="240" w:lineRule="auto"/>
        <w:ind w:firstLine="426"/>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на розвиток власного садівництва та ягідництва «Свій сад»;</w:t>
      </w:r>
    </w:p>
    <w:p w:rsidR="003024C6" w:rsidRPr="003024C6" w:rsidRDefault="003024C6" w:rsidP="0095027C">
      <w:pPr>
        <w:numPr>
          <w:ilvl w:val="0"/>
          <w:numId w:val="5"/>
        </w:numPr>
        <w:suppressAutoHyphens/>
        <w:spacing w:after="160" w:line="240" w:lineRule="auto"/>
        <w:ind w:firstLine="426"/>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на розвиток тепличного господарства «Своя теплиця»;</w:t>
      </w:r>
    </w:p>
    <w:p w:rsidR="003024C6" w:rsidRPr="003024C6" w:rsidRDefault="003024C6" w:rsidP="0095027C">
      <w:pPr>
        <w:numPr>
          <w:ilvl w:val="0"/>
          <w:numId w:val="5"/>
        </w:numPr>
        <w:suppressAutoHyphens/>
        <w:spacing w:after="160" w:line="240" w:lineRule="auto"/>
        <w:ind w:firstLine="426"/>
        <w:contextualSpacing/>
        <w:jc w:val="both"/>
        <w:rPr>
          <w:rFonts w:ascii="Times New Roman" w:eastAsia="Calibri" w:hAnsi="Times New Roman" w:cs="Times New Roman"/>
          <w:sz w:val="28"/>
          <w:szCs w:val="28"/>
          <w:lang w:eastAsia="en-US"/>
        </w:rPr>
      </w:pPr>
      <w:r w:rsidRPr="003024C6">
        <w:rPr>
          <w:rFonts w:ascii="Times New Roman" w:eastAsia="Calibri" w:hAnsi="Times New Roman" w:cs="Times New Roman"/>
          <w:sz w:val="28"/>
          <w:szCs w:val="28"/>
          <w:lang w:eastAsia="en-US"/>
        </w:rPr>
        <w:t>грант для ветеранів та членів їх сімей.</w:t>
      </w:r>
    </w:p>
    <w:p w:rsidR="003024C6" w:rsidRPr="003024C6" w:rsidRDefault="003024C6" w:rsidP="0095027C">
      <w:pPr>
        <w:spacing w:line="240" w:lineRule="auto"/>
        <w:ind w:firstLine="567"/>
        <w:jc w:val="both"/>
        <w:rPr>
          <w:rFonts w:ascii="Times New Roman" w:eastAsia="Calibri" w:hAnsi="Times New Roman" w:cs="Times New Roman"/>
          <w:sz w:val="28"/>
          <w:szCs w:val="28"/>
          <w:shd w:val="clear" w:color="auto" w:fill="FFFFFF"/>
          <w:lang w:eastAsia="en-US"/>
        </w:rPr>
      </w:pPr>
      <w:r w:rsidRPr="003024C6">
        <w:rPr>
          <w:rFonts w:ascii="Times New Roman" w:eastAsia="Calibri" w:hAnsi="Times New Roman" w:cs="Times New Roman"/>
          <w:sz w:val="28"/>
          <w:szCs w:val="28"/>
          <w:shd w:val="clear" w:color="auto" w:fill="FFFFFF"/>
          <w:lang w:eastAsia="en-US"/>
        </w:rPr>
        <w:t xml:space="preserve">Крім того, сільгоспвиробники від ФАО отримали рукава для зберігання зерна та надання послуг завантаження/вивантаження зерна у рукави, сільгоспвиробником, який отримав рукава для зберігання зерна. </w:t>
      </w:r>
    </w:p>
    <w:p w:rsidR="0095027C" w:rsidRPr="00812270" w:rsidRDefault="003024C6" w:rsidP="0095027C">
      <w:pPr>
        <w:keepNext/>
        <w:tabs>
          <w:tab w:val="left" w:pos="3915"/>
          <w:tab w:val="center" w:pos="5037"/>
        </w:tabs>
        <w:spacing w:line="240" w:lineRule="auto"/>
        <w:outlineLvl w:val="0"/>
        <w:rPr>
          <w:rFonts w:ascii="Times New Roman" w:hAnsi="Times New Roman" w:cs="Times New Roman"/>
          <w:b/>
          <w:i/>
          <w:caps/>
          <w:sz w:val="28"/>
          <w:szCs w:val="28"/>
        </w:rPr>
      </w:pPr>
      <w:r w:rsidRPr="003024C6">
        <w:rPr>
          <w:rFonts w:ascii="Times New Roman" w:eastAsia="Calibri" w:hAnsi="Times New Roman" w:cs="Times New Roman"/>
          <w:color w:val="FF0000"/>
          <w:sz w:val="28"/>
          <w:szCs w:val="28"/>
          <w:lang w:eastAsia="en-US"/>
        </w:rPr>
        <w:t xml:space="preserve">                                                        </w:t>
      </w:r>
      <w:r w:rsidRPr="00812270">
        <w:rPr>
          <w:rFonts w:ascii="Times New Roman" w:hAnsi="Times New Roman" w:cs="Times New Roman"/>
          <w:b/>
          <w:i/>
          <w:caps/>
          <w:sz w:val="28"/>
          <w:szCs w:val="28"/>
        </w:rPr>
        <w:t>Доходи</w:t>
      </w:r>
    </w:p>
    <w:p w:rsidR="003024C6" w:rsidRPr="003024C6" w:rsidRDefault="003024C6" w:rsidP="0095027C">
      <w:pPr>
        <w:keepNext/>
        <w:tabs>
          <w:tab w:val="left" w:pos="3915"/>
          <w:tab w:val="center" w:pos="5037"/>
        </w:tabs>
        <w:spacing w:line="240" w:lineRule="auto"/>
        <w:jc w:val="both"/>
        <w:outlineLvl w:val="0"/>
        <w:rPr>
          <w:rFonts w:ascii="Times New Roman" w:hAnsi="Times New Roman" w:cs="Times New Roman"/>
          <w:sz w:val="28"/>
          <w:szCs w:val="28"/>
        </w:rPr>
      </w:pPr>
      <w:r w:rsidRPr="003024C6">
        <w:rPr>
          <w:rFonts w:ascii="Times New Roman" w:hAnsi="Times New Roman" w:cs="Times New Roman"/>
          <w:sz w:val="28"/>
          <w:szCs w:val="28"/>
        </w:rPr>
        <w:t xml:space="preserve">       В порівнянні із минулорічними показниками надходжень податків і зборів за загальним та спеціальним фондами вцілому збі</w:t>
      </w:r>
      <w:r w:rsidR="00954008">
        <w:rPr>
          <w:rFonts w:ascii="Times New Roman" w:hAnsi="Times New Roman" w:cs="Times New Roman"/>
          <w:sz w:val="28"/>
          <w:szCs w:val="28"/>
        </w:rPr>
        <w:t>льшилося</w:t>
      </w:r>
      <w:r w:rsidRPr="003024C6">
        <w:rPr>
          <w:rFonts w:ascii="Times New Roman" w:hAnsi="Times New Roman" w:cs="Times New Roman"/>
          <w:sz w:val="28"/>
          <w:szCs w:val="28"/>
        </w:rPr>
        <w:t xml:space="preserve"> на 15,6 відс., або 25381,8 тис. грн., та в порівнянні до показника надходжень 2021 року збільшились на 38,3 відс. або 51 969,7 тис. грн., з них: </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доходи загального фонду — більше факту 2022 року 12,3 відс., або 18777,4 тис. грн., та більше факту 2021 року на 30 відс. або 39940,1 тис. грн.</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доходи спеціального фонду — більше факту 2022 року 65,7 відс., або 6604,4 тис. грн., та більше факту 2021 року на 260,4 відс. або 12029,6 тис. грн.</w:t>
      </w:r>
    </w:p>
    <w:p w:rsidR="003024C6" w:rsidRPr="003024C6" w:rsidRDefault="003024C6" w:rsidP="0095027C">
      <w:pPr>
        <w:spacing w:line="240" w:lineRule="auto"/>
        <w:jc w:val="both"/>
        <w:rPr>
          <w:rFonts w:ascii="Times New Roman" w:hAnsi="Times New Roman" w:cs="Times New Roman"/>
          <w:bCs/>
          <w:sz w:val="28"/>
          <w:szCs w:val="28"/>
        </w:rPr>
      </w:pPr>
      <w:r w:rsidRPr="003024C6">
        <w:rPr>
          <w:rFonts w:ascii="Times New Roman" w:hAnsi="Times New Roman" w:cs="Times New Roman"/>
          <w:bCs/>
          <w:noProof/>
          <w:sz w:val="28"/>
          <w:szCs w:val="28"/>
          <w:lang w:val="en-US" w:eastAsia="en-US"/>
        </w:rPr>
        <w:drawing>
          <wp:anchor distT="0" distB="0" distL="114300" distR="114300" simplePos="0" relativeHeight="251658240" behindDoc="0" locked="0" layoutInCell="1" allowOverlap="1">
            <wp:simplePos x="0" y="0"/>
            <wp:positionH relativeFrom="column">
              <wp:posOffset>-4445</wp:posOffset>
            </wp:positionH>
            <wp:positionV relativeFrom="paragraph">
              <wp:posOffset>212090</wp:posOffset>
            </wp:positionV>
            <wp:extent cx="5972175" cy="3371215"/>
            <wp:effectExtent l="0" t="0" r="9525" b="635"/>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024C6" w:rsidRPr="003024C6" w:rsidRDefault="003024C6" w:rsidP="0095027C">
      <w:pPr>
        <w:spacing w:line="240" w:lineRule="auto"/>
        <w:jc w:val="both"/>
        <w:rPr>
          <w:rFonts w:ascii="Times New Roman" w:hAnsi="Times New Roman" w:cs="Times New Roman"/>
          <w:bCs/>
          <w:sz w:val="28"/>
          <w:szCs w:val="28"/>
        </w:rPr>
      </w:pPr>
    </w:p>
    <w:tbl>
      <w:tblPr>
        <w:tblW w:w="23840" w:type="dxa"/>
        <w:tblInd w:w="108" w:type="dxa"/>
        <w:tblLook w:val="04A0" w:firstRow="1" w:lastRow="0" w:firstColumn="1" w:lastColumn="0" w:noHBand="0" w:noVBand="1"/>
      </w:tblPr>
      <w:tblGrid>
        <w:gridCol w:w="12128"/>
        <w:gridCol w:w="976"/>
        <w:gridCol w:w="976"/>
        <w:gridCol w:w="976"/>
        <w:gridCol w:w="976"/>
        <w:gridCol w:w="976"/>
        <w:gridCol w:w="976"/>
        <w:gridCol w:w="976"/>
        <w:gridCol w:w="976"/>
        <w:gridCol w:w="976"/>
        <w:gridCol w:w="976"/>
        <w:gridCol w:w="976"/>
        <w:gridCol w:w="976"/>
      </w:tblGrid>
      <w:tr w:rsidR="003024C6" w:rsidRPr="003024C6" w:rsidTr="00251AE3">
        <w:trPr>
          <w:trHeight w:val="1559"/>
        </w:trPr>
        <w:tc>
          <w:tcPr>
            <w:tcW w:w="12128" w:type="dxa"/>
            <w:tcBorders>
              <w:top w:val="nil"/>
              <w:left w:val="nil"/>
              <w:bottom w:val="nil"/>
              <w:right w:val="nil"/>
            </w:tcBorders>
            <w:shd w:val="clear" w:color="auto" w:fill="auto"/>
            <w:noWrap/>
            <w:vAlign w:val="bottom"/>
            <w:hideMark/>
          </w:tcPr>
          <w:tbl>
            <w:tblPr>
              <w:tblW w:w="11912" w:type="dxa"/>
              <w:tblLook w:val="04A0" w:firstRow="1" w:lastRow="0" w:firstColumn="1" w:lastColumn="0" w:noHBand="0" w:noVBand="1"/>
            </w:tblPr>
            <w:tblGrid>
              <w:gridCol w:w="1176"/>
              <w:gridCol w:w="976"/>
              <w:gridCol w:w="976"/>
              <w:gridCol w:w="976"/>
              <w:gridCol w:w="976"/>
              <w:gridCol w:w="976"/>
              <w:gridCol w:w="976"/>
              <w:gridCol w:w="976"/>
              <w:gridCol w:w="976"/>
              <w:gridCol w:w="976"/>
              <w:gridCol w:w="976"/>
              <w:gridCol w:w="976"/>
            </w:tblGrid>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sz w:val="24"/>
                      <w:szCs w:val="24"/>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color w:val="000000"/>
                      <w:lang w:eastAsia="en-US"/>
                    </w:rPr>
                  </w:pPr>
                </w:p>
                <w:tbl>
                  <w:tblPr>
                    <w:tblW w:w="0" w:type="auto"/>
                    <w:tblCellSpacing w:w="0" w:type="dxa"/>
                    <w:tblCellMar>
                      <w:left w:w="0" w:type="dxa"/>
                      <w:right w:w="0" w:type="dxa"/>
                    </w:tblCellMar>
                    <w:tblLook w:val="04A0" w:firstRow="1" w:lastRow="0" w:firstColumn="1" w:lastColumn="0" w:noHBand="0" w:noVBand="1"/>
                  </w:tblPr>
                  <w:tblGrid>
                    <w:gridCol w:w="960"/>
                  </w:tblGrid>
                  <w:tr w:rsidR="003024C6" w:rsidRPr="003024C6" w:rsidTr="00251AE3">
                    <w:trPr>
                      <w:trHeight w:val="300"/>
                      <w:tblCellSpacing w:w="0" w:type="dxa"/>
                    </w:trPr>
                    <w:tc>
                      <w:tcPr>
                        <w:tcW w:w="960"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color w:val="000000"/>
                            <w:lang w:eastAsia="en-US"/>
                          </w:rPr>
                        </w:pPr>
                      </w:p>
                    </w:tc>
                  </w:tr>
                </w:tbl>
                <w:p w:rsidR="003024C6" w:rsidRPr="003024C6" w:rsidRDefault="003024C6" w:rsidP="0095027C">
                  <w:pPr>
                    <w:spacing w:line="240" w:lineRule="auto"/>
                    <w:rPr>
                      <w:rFonts w:ascii="Times New Roman" w:hAnsi="Times New Roman" w:cs="Times New Roman"/>
                      <w:color w:val="000000"/>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1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bl>
          <w:p w:rsidR="003024C6" w:rsidRPr="003024C6" w:rsidRDefault="003024C6" w:rsidP="0095027C">
            <w:pPr>
              <w:spacing w:line="240" w:lineRule="auto"/>
              <w:rPr>
                <w:rFonts w:ascii="Times New Roman" w:hAnsi="Times New Roman" w:cs="Times New Roman"/>
                <w:sz w:val="24"/>
                <w:szCs w:val="24"/>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80"/>
        </w:trPr>
        <w:tc>
          <w:tcPr>
            <w:tcW w:w="12128"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80"/>
        </w:trPr>
        <w:tc>
          <w:tcPr>
            <w:tcW w:w="12128"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r w:rsidR="003024C6" w:rsidRPr="003024C6" w:rsidTr="00251AE3">
        <w:trPr>
          <w:trHeight w:val="300"/>
        </w:trPr>
        <w:tc>
          <w:tcPr>
            <w:tcW w:w="12128"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c>
          <w:tcPr>
            <w:tcW w:w="976" w:type="dxa"/>
            <w:tcBorders>
              <w:top w:val="nil"/>
              <w:left w:val="nil"/>
              <w:bottom w:val="nil"/>
              <w:right w:val="nil"/>
            </w:tcBorders>
            <w:shd w:val="clear" w:color="auto" w:fill="auto"/>
            <w:noWrap/>
            <w:vAlign w:val="bottom"/>
            <w:hideMark/>
          </w:tcPr>
          <w:p w:rsidR="003024C6" w:rsidRPr="003024C6" w:rsidRDefault="003024C6" w:rsidP="0095027C">
            <w:pPr>
              <w:spacing w:line="240" w:lineRule="auto"/>
              <w:rPr>
                <w:rFonts w:ascii="Times New Roman" w:hAnsi="Times New Roman" w:cs="Times New Roman"/>
                <w:lang w:eastAsia="en-US"/>
              </w:rPr>
            </w:pPr>
          </w:p>
        </w:tc>
      </w:tr>
    </w:tbl>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Найвагомішим дохідним джерелом в доходах загального фонду є </w:t>
      </w:r>
      <w:r w:rsidRPr="00812270">
        <w:rPr>
          <w:rFonts w:ascii="Times New Roman" w:hAnsi="Times New Roman" w:cs="Times New Roman"/>
          <w:b/>
          <w:i/>
          <w:sz w:val="28"/>
          <w:szCs w:val="28"/>
          <w:u w:val="single"/>
        </w:rPr>
        <w:t>податок на доходи фізичних осіб</w:t>
      </w:r>
      <w:r w:rsidRPr="003024C6">
        <w:rPr>
          <w:rFonts w:ascii="Times New Roman" w:hAnsi="Times New Roman" w:cs="Times New Roman"/>
          <w:sz w:val="28"/>
          <w:szCs w:val="28"/>
        </w:rPr>
        <w:t>. Його питома вага в загальному обсязі власних надходжень становить – 59,7 відс., якого в звітному бюджетному році надійшло 102212,1 тис. грн., що 3,6 відс. більше минулорічних показників або на 3555,1 тис. грн., та більше факту 2021 року на 40 відс. або на 29173,7 тис. грн. Значний приріст надходження податку з доходів фізичних осіб зумовлено, по-перше, збільшенням зарахування ПДФО до місцевих бюджетів із 60% до 64% з початку 2022 року, по-друге, надходження грошових виплат військовослужбовцям в 2022-2023рр., чисельність яких значно  зросла під час військового стану в Україні.</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b/>
          <w:sz w:val="28"/>
          <w:szCs w:val="28"/>
        </w:rPr>
        <w:t xml:space="preserve">         </w:t>
      </w:r>
      <w:r w:rsidRPr="00812270">
        <w:rPr>
          <w:rFonts w:ascii="Times New Roman" w:hAnsi="Times New Roman" w:cs="Times New Roman"/>
          <w:b/>
          <w:i/>
          <w:sz w:val="28"/>
          <w:szCs w:val="28"/>
          <w:u w:val="single"/>
        </w:rPr>
        <w:t>Внутрішні податки на товари та послуги</w:t>
      </w:r>
      <w:r w:rsidRPr="003024C6">
        <w:rPr>
          <w:rFonts w:ascii="Times New Roman" w:hAnsi="Times New Roman" w:cs="Times New Roman"/>
          <w:sz w:val="28"/>
          <w:szCs w:val="28"/>
        </w:rPr>
        <w:t xml:space="preserve"> склали 10828,4 тис. грн., виконання за звітний період становить 105,2 % або на 534,5 тис. грн. більше запланованих показників, що 50,6 відс. більше минулорічних показників або на 3636,4 тис. грн. Ріст надходження акцизного податку пояснюється тим, що під час введення в 2022 році військового стану в державі, діяла пільгова ставка акцизу на пальне, а з 1 липня 2023 року рівень податків на пальне повернувся на довоєнний рівень, та менше факту 2021 року на 5,5 відс. або на 628,1 тис. грн. За звітний період до бюджету громади надійшов акцизний податок з ввезених на митну територію України підакцизних товарів (пальне) в сумі 5408,4 тис. грн. та акцизний податок з вироблених в Україні підакцизних товарів (пальне) – 1401,1 тис. грн. 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рідини, що використовується в електонних сигаретах, що оподатковується згідно з підпунктом 213.1.14 за звітний період надійшло - 2064,7 тис. грн. Акцизний податок з реалізації суб`єктами господарювання роздрібної торгівлі підакцизних товарів(крім тих, що оподатковується згідно з підпунктом 213.1.14. пункту 213.1 статті 213 Податкового кодексу України) – 1954,2 тис. грн. </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Ще одним вагомим джерелом бюджету громади є </w:t>
      </w:r>
      <w:r w:rsidRPr="00812270">
        <w:rPr>
          <w:rFonts w:ascii="Times New Roman" w:hAnsi="Times New Roman" w:cs="Times New Roman"/>
          <w:b/>
          <w:i/>
          <w:sz w:val="28"/>
          <w:szCs w:val="28"/>
          <w:u w:val="single"/>
        </w:rPr>
        <w:t>податок на майно відмінне від земельного податку</w:t>
      </w:r>
      <w:r w:rsidRPr="003024C6">
        <w:rPr>
          <w:rFonts w:ascii="Times New Roman" w:hAnsi="Times New Roman" w:cs="Times New Roman"/>
          <w:sz w:val="28"/>
          <w:szCs w:val="28"/>
        </w:rPr>
        <w:t>, який займає 2,4 відс. в загальних надходженнях. Надход</w:t>
      </w:r>
      <w:r w:rsidR="00954008">
        <w:rPr>
          <w:rFonts w:ascii="Times New Roman" w:hAnsi="Times New Roman" w:cs="Times New Roman"/>
          <w:sz w:val="28"/>
          <w:szCs w:val="28"/>
        </w:rPr>
        <w:t>ження даного</w:t>
      </w:r>
      <w:r w:rsidRPr="003024C6">
        <w:rPr>
          <w:rFonts w:ascii="Times New Roman" w:hAnsi="Times New Roman" w:cs="Times New Roman"/>
          <w:sz w:val="28"/>
          <w:szCs w:val="28"/>
        </w:rPr>
        <w:t xml:space="preserve"> податку склали 4114,1 тис. грн., що на 1419,8 тис. грн. більше до минулорічного показника, та більше факту 2021 року на 191,3 відс. або на 2701,5 тис. грн. Ріст надходження даного податку пов’язаний із збільшенням у 2023 році ставки податку на нерухоме майно, відмінне від земельної ділянки, сплачений фізичними особами, які є власниками об’єктів нежитлової нерухомості з 0,1 до 0,75 за 1 кв.м.</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w:t>
      </w:r>
      <w:r w:rsidRPr="00812270">
        <w:rPr>
          <w:rFonts w:ascii="Times New Roman" w:hAnsi="Times New Roman" w:cs="Times New Roman"/>
          <w:b/>
          <w:i/>
          <w:sz w:val="28"/>
          <w:szCs w:val="28"/>
          <w:u w:val="single"/>
        </w:rPr>
        <w:t>Плата за землю</w:t>
      </w:r>
      <w:r w:rsidRPr="003024C6">
        <w:rPr>
          <w:rFonts w:ascii="Times New Roman" w:hAnsi="Times New Roman" w:cs="Times New Roman"/>
          <w:sz w:val="28"/>
          <w:szCs w:val="28"/>
        </w:rPr>
        <w:t xml:space="preserve">, яка справляється у формі земельного податку та орендної плати за земельні ділянки державної і комунальної власності юридичними та фізичними особами, займає 11,9 відс. в загальних </w:t>
      </w:r>
      <w:r w:rsidRPr="003024C6">
        <w:rPr>
          <w:rFonts w:ascii="Times New Roman" w:hAnsi="Times New Roman" w:cs="Times New Roman"/>
          <w:sz w:val="28"/>
          <w:szCs w:val="28"/>
        </w:rPr>
        <w:lastRenderedPageBreak/>
        <w:t>надхо</w:t>
      </w:r>
      <w:r w:rsidR="00954008">
        <w:rPr>
          <w:rFonts w:ascii="Times New Roman" w:hAnsi="Times New Roman" w:cs="Times New Roman"/>
          <w:sz w:val="28"/>
          <w:szCs w:val="28"/>
        </w:rPr>
        <w:t>дженнях д</w:t>
      </w:r>
      <w:r w:rsidRPr="003024C6">
        <w:rPr>
          <w:rFonts w:ascii="Times New Roman" w:hAnsi="Times New Roman" w:cs="Times New Roman"/>
          <w:sz w:val="28"/>
          <w:szCs w:val="28"/>
        </w:rPr>
        <w:t xml:space="preserve"> бюджету, і склали 20286,3 тис. грн., що більше факту минулого року на 2</w:t>
      </w:r>
      <w:r w:rsidR="00954008">
        <w:rPr>
          <w:rFonts w:ascii="Times New Roman" w:hAnsi="Times New Roman" w:cs="Times New Roman"/>
          <w:sz w:val="28"/>
          <w:szCs w:val="28"/>
        </w:rPr>
        <w:t xml:space="preserve">775,6 тис. грн., </w:t>
      </w:r>
      <w:r w:rsidRPr="003024C6">
        <w:rPr>
          <w:rFonts w:ascii="Times New Roman" w:hAnsi="Times New Roman" w:cs="Times New Roman"/>
          <w:sz w:val="28"/>
          <w:szCs w:val="28"/>
        </w:rPr>
        <w:t>або 15,8 відс., та більше показників 2021 року на 6,2 відс. або на 1193,2 тис. грн.</w:t>
      </w:r>
    </w:p>
    <w:p w:rsidR="003024C6" w:rsidRPr="003024C6" w:rsidRDefault="003024C6" w:rsidP="0095027C">
      <w:pPr>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w:t>
      </w:r>
      <w:r w:rsidRPr="00812270">
        <w:rPr>
          <w:rFonts w:ascii="Times New Roman" w:hAnsi="Times New Roman" w:cs="Times New Roman"/>
          <w:b/>
          <w:i/>
          <w:sz w:val="28"/>
          <w:szCs w:val="28"/>
          <w:u w:val="single"/>
        </w:rPr>
        <w:t>Єдиний податок</w:t>
      </w:r>
      <w:r w:rsidRPr="003024C6">
        <w:rPr>
          <w:rFonts w:ascii="Times New Roman" w:hAnsi="Times New Roman" w:cs="Times New Roman"/>
          <w:sz w:val="28"/>
          <w:szCs w:val="28"/>
        </w:rPr>
        <w:t xml:space="preserve"> займає 17 ві</w:t>
      </w:r>
      <w:r w:rsidR="00954008">
        <w:rPr>
          <w:rFonts w:ascii="Times New Roman" w:hAnsi="Times New Roman" w:cs="Times New Roman"/>
          <w:sz w:val="28"/>
          <w:szCs w:val="28"/>
        </w:rPr>
        <w:t xml:space="preserve">дс. надходжень загального фонду, зарахована сума до </w:t>
      </w:r>
      <w:r w:rsidR="00954008" w:rsidRPr="003024C6">
        <w:rPr>
          <w:rFonts w:ascii="Times New Roman" w:hAnsi="Times New Roman" w:cs="Times New Roman"/>
          <w:sz w:val="28"/>
          <w:szCs w:val="28"/>
        </w:rPr>
        <w:t>бюджета</w:t>
      </w:r>
      <w:r w:rsidRPr="003024C6">
        <w:rPr>
          <w:rFonts w:ascii="Times New Roman" w:hAnsi="Times New Roman" w:cs="Times New Roman"/>
          <w:sz w:val="28"/>
          <w:szCs w:val="28"/>
        </w:rPr>
        <w:t xml:space="preserve"> громади складає 29050,0 тис. грн., що більше минулорічного показника на 7240,1 тис. грн., або 33,2 відс., та більше на 8183,9 тис. грн., або на 139,2 відс. Значний ріст надходжень єдиниго податку зумовлено тим, що особи, які перейшли на сплату єдиного податку за ставкою 2% під час військового стану, втратили з 01 серпня 2023 року право на використання податкових пільг і вважаються такими, що застосовують систему оподаткування, на якій вони перебували до обрання спеціальної спрощеної системи оподаткування, а також сплати мінімального податкового зобов’язання юридичними особами у 2023 році та більше на 8183,9 тис. грн., або на 39,2 відс. в порівнянні до показника 2021 року.</w:t>
      </w:r>
    </w:p>
    <w:p w:rsidR="003024C6" w:rsidRPr="003024C6" w:rsidRDefault="003024C6" w:rsidP="0095027C">
      <w:pPr>
        <w:spacing w:line="240" w:lineRule="auto"/>
        <w:jc w:val="both"/>
        <w:rPr>
          <w:rFonts w:ascii="Times New Roman" w:hAnsi="Times New Roman" w:cs="Times New Roman"/>
          <w:sz w:val="28"/>
          <w:szCs w:val="28"/>
        </w:rPr>
      </w:pPr>
      <w:r w:rsidRPr="00812270">
        <w:rPr>
          <w:rFonts w:ascii="Times New Roman" w:hAnsi="Times New Roman" w:cs="Times New Roman"/>
          <w:i/>
          <w:sz w:val="28"/>
          <w:szCs w:val="28"/>
        </w:rPr>
        <w:t xml:space="preserve">          </w:t>
      </w:r>
      <w:r w:rsidRPr="00812270">
        <w:rPr>
          <w:rFonts w:ascii="Times New Roman" w:hAnsi="Times New Roman" w:cs="Times New Roman"/>
          <w:b/>
          <w:i/>
          <w:sz w:val="28"/>
          <w:szCs w:val="28"/>
          <w:u w:val="single"/>
        </w:rPr>
        <w:t>Інші платежі</w:t>
      </w:r>
      <w:r w:rsidRPr="003024C6">
        <w:rPr>
          <w:rFonts w:ascii="Times New Roman" w:hAnsi="Times New Roman" w:cs="Times New Roman"/>
          <w:sz w:val="28"/>
          <w:szCs w:val="28"/>
        </w:rPr>
        <w:t xml:space="preserve"> займають 2,7 відс. або 4583,1 тис. грн. власних надходжень загального фонду міського бюджету в 2023 році.</w:t>
      </w:r>
    </w:p>
    <w:p w:rsidR="003024C6" w:rsidRPr="003024C6" w:rsidRDefault="003024C6" w:rsidP="0095027C">
      <w:pPr>
        <w:spacing w:line="240" w:lineRule="auto"/>
        <w:jc w:val="both"/>
        <w:rPr>
          <w:rFonts w:ascii="Times New Roman" w:hAnsi="Times New Roman" w:cs="Times New Roman"/>
          <w:bCs/>
          <w:caps/>
        </w:rPr>
      </w:pPr>
      <w:r w:rsidRPr="003024C6">
        <w:rPr>
          <w:rFonts w:ascii="Times New Roman" w:hAnsi="Times New Roman" w:cs="Times New Roman"/>
          <w:sz w:val="28"/>
          <w:szCs w:val="28"/>
        </w:rPr>
        <w:tab/>
        <w:t>До спеціального фонду міського бюджету надійшло 16649,9 тис. грн., що на 6604,4 тис. грн. більше минулорічних надходжень: в т.ч. надійшло екологічного податку в сумі 149,0 тис. грн.,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склали 11,5 тис. грн. , власних надходжень бюджетних установ - в сумі 11655,4 тис. грн.,з них: плата за послуги, що надаються бюджетними установами згідно з їх основною діяльністю – 2416,9 тис. грн.; надходження бюджетних установ від додаткової (господарської) діяльності – 43,8 тис. грн.; плата за оренду майна бюджетних установ, що здійснюється відповідно до Закону України `Про оренду державного та комунального майна`- 11,9 тис.грн.; інші джерела власних надходжень бюджетних установ – 9182,7 тис. грн.; кошти від відчуження майна, що належить Автономній Республіці Крим та майна, що перебуває в комунальній власності - 338,3 тис.грн.; кошти від продажу земельних ділянок несільськогосподарського призначення, що перебувають у державній або комунальній власності, та земельних ділянок – 3122,2 тис. грн.; кошти від викупу земельних ділянок сільськогосподарського призначення державної та комунальної власності, передбачених пунктом 6-1 розділу X `Перехідні положення` Земельного кодексу України – 1373,2 тис. грн.</w:t>
      </w:r>
    </w:p>
    <w:p w:rsidR="003024C6" w:rsidRPr="00812270" w:rsidRDefault="003024C6" w:rsidP="0095027C">
      <w:pPr>
        <w:keepNext/>
        <w:tabs>
          <w:tab w:val="left" w:pos="1701"/>
        </w:tabs>
        <w:spacing w:line="240" w:lineRule="auto"/>
        <w:ind w:firstLine="709"/>
        <w:jc w:val="center"/>
        <w:outlineLvl w:val="0"/>
        <w:rPr>
          <w:rFonts w:ascii="Times New Roman" w:hAnsi="Times New Roman" w:cs="Times New Roman"/>
          <w:b/>
          <w:bCs/>
          <w:i/>
          <w:caps/>
          <w:sz w:val="28"/>
          <w:szCs w:val="28"/>
        </w:rPr>
      </w:pPr>
      <w:r w:rsidRPr="00812270">
        <w:rPr>
          <w:rFonts w:ascii="Times New Roman" w:hAnsi="Times New Roman" w:cs="Times New Roman"/>
          <w:b/>
          <w:bCs/>
          <w:i/>
          <w:caps/>
          <w:sz w:val="28"/>
          <w:szCs w:val="28"/>
        </w:rPr>
        <w:t>Видатки та заборгованість</w:t>
      </w:r>
    </w:p>
    <w:p w:rsidR="003024C6" w:rsidRPr="003024C6" w:rsidRDefault="003024C6" w:rsidP="0095027C">
      <w:pPr>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По загальному фонду в 2023 році проведено видатків в загальній сумі 286449,4 тис. грн., при плані 293166,6</w:t>
      </w:r>
      <w:r w:rsidR="00954008">
        <w:rPr>
          <w:rFonts w:ascii="Times New Roman" w:hAnsi="Times New Roman" w:cs="Times New Roman"/>
          <w:sz w:val="28"/>
          <w:szCs w:val="28"/>
        </w:rPr>
        <w:t xml:space="preserve"> тис. грн., або </w:t>
      </w:r>
      <w:r w:rsidRPr="003024C6">
        <w:rPr>
          <w:rFonts w:ascii="Times New Roman" w:hAnsi="Times New Roman" w:cs="Times New Roman"/>
          <w:sz w:val="28"/>
          <w:szCs w:val="28"/>
        </w:rPr>
        <w:t>на 97,7 відсотка.</w:t>
      </w:r>
    </w:p>
    <w:p w:rsidR="003024C6" w:rsidRPr="003024C6" w:rsidRDefault="003024C6" w:rsidP="0095027C">
      <w:pPr>
        <w:spacing w:line="240" w:lineRule="auto"/>
        <w:ind w:firstLine="709"/>
        <w:jc w:val="both"/>
        <w:rPr>
          <w:rFonts w:ascii="Times New Roman" w:eastAsia="Calibri" w:hAnsi="Times New Roman" w:cs="Times New Roman"/>
          <w:color w:val="FF0000"/>
          <w:sz w:val="28"/>
          <w:szCs w:val="28"/>
          <w:lang w:eastAsia="en-US"/>
        </w:rPr>
      </w:pPr>
      <w:r w:rsidRPr="003024C6">
        <w:rPr>
          <w:rFonts w:ascii="Times New Roman" w:hAnsi="Times New Roman" w:cs="Times New Roman"/>
          <w:sz w:val="28"/>
          <w:szCs w:val="28"/>
        </w:rPr>
        <w:t>По спеціальному фонду в 2023 році проведено видатків в загальній сумі 32064,9 тис. грн. при плані 34527,3 тис. грн., або на 92,9 відсотка.</w:t>
      </w:r>
    </w:p>
    <w:p w:rsidR="003024C6" w:rsidRPr="00812270" w:rsidRDefault="003024C6" w:rsidP="0095027C">
      <w:pPr>
        <w:tabs>
          <w:tab w:val="left" w:pos="1701"/>
        </w:tabs>
        <w:spacing w:line="240" w:lineRule="auto"/>
        <w:jc w:val="center"/>
        <w:rPr>
          <w:rFonts w:ascii="Times New Roman" w:hAnsi="Times New Roman" w:cs="Times New Roman"/>
          <w:b/>
          <w:i/>
          <w:sz w:val="28"/>
          <w:szCs w:val="28"/>
          <w:u w:val="single"/>
        </w:rPr>
      </w:pPr>
      <w:r w:rsidRPr="00812270">
        <w:rPr>
          <w:rFonts w:ascii="Times New Roman" w:hAnsi="Times New Roman" w:cs="Times New Roman"/>
          <w:b/>
          <w:i/>
          <w:sz w:val="28"/>
          <w:szCs w:val="28"/>
          <w:u w:val="single"/>
        </w:rPr>
        <w:t>Державне управління</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Органами місцевого самоврядування протягом 2023 року використано коштів по загальному фонду в сумі 45051,5 тис. грн., що складає 97,9 відсотка до річного уточненого плану 46014,7 тис. грн. </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lastRenderedPageBreak/>
        <w:t>На виплату заробітної плати з нарахуванням використано 37786,1 тис. грн., що складає 83,9 від</w:t>
      </w:r>
      <w:r w:rsidR="00954008">
        <w:rPr>
          <w:rFonts w:ascii="Times New Roman" w:hAnsi="Times New Roman" w:cs="Times New Roman"/>
          <w:sz w:val="28"/>
        </w:rPr>
        <w:t>сотка в сумі видатків на галузь</w:t>
      </w:r>
      <w:r w:rsidRPr="003024C6">
        <w:rPr>
          <w:rFonts w:ascii="Times New Roman" w:hAnsi="Times New Roman" w:cs="Times New Roman"/>
          <w:sz w:val="28"/>
        </w:rPr>
        <w:t xml:space="preserve">, </w:t>
      </w:r>
      <w:r w:rsidR="0095027C" w:rsidRPr="003024C6">
        <w:rPr>
          <w:rFonts w:ascii="Times New Roman" w:hAnsi="Times New Roman" w:cs="Times New Roman"/>
          <w:sz w:val="28"/>
        </w:rPr>
        <w:t>на оплату</w:t>
      </w:r>
      <w:r w:rsidRPr="003024C6">
        <w:rPr>
          <w:rFonts w:ascii="Times New Roman" w:hAnsi="Times New Roman" w:cs="Times New Roman"/>
          <w:sz w:val="28"/>
        </w:rPr>
        <w:t xml:space="preserve"> комунальних послуг та енергоносіїв 2029,5 тис. грн.</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Протягом звітного періоду використано коштів по спеціальному фонду в сумі 7646,4 тис. грн., що складає 99,2 відсотка від кошторисних призначень 7710,2 тис. грн., в тому числі заробітна плата з нарахуванням-8,7тис.грн., придбання предметів матеріалів, обладнання-732,6 тис. грн., придбання обладнання та предметів довгострокового користування – 6720,4 тис. грн. капітальне будівництво(придбання) -184,7 тис. грн.</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По загальному та спеціальному фонду станом на 1.01.2024 р</w:t>
      </w:r>
      <w:r w:rsidR="00954008">
        <w:rPr>
          <w:rFonts w:ascii="Times New Roman" w:hAnsi="Times New Roman" w:cs="Times New Roman"/>
          <w:sz w:val="28"/>
        </w:rPr>
        <w:t>оку кредиторська заборгованість</w:t>
      </w:r>
      <w:r w:rsidRPr="003024C6">
        <w:rPr>
          <w:rFonts w:ascii="Times New Roman" w:hAnsi="Times New Roman" w:cs="Times New Roman"/>
          <w:sz w:val="28"/>
        </w:rPr>
        <w:t xml:space="preserve"> -відсутня.</w:t>
      </w:r>
    </w:p>
    <w:p w:rsidR="003024C6" w:rsidRPr="003024C6" w:rsidRDefault="003024C6" w:rsidP="0095027C">
      <w:pPr>
        <w:tabs>
          <w:tab w:val="left" w:pos="1701"/>
        </w:tabs>
        <w:spacing w:line="240" w:lineRule="auto"/>
        <w:ind w:firstLine="709"/>
        <w:jc w:val="both"/>
        <w:rPr>
          <w:rFonts w:ascii="Times New Roman" w:hAnsi="Times New Roman" w:cs="Times New Roman"/>
          <w:b/>
          <w:sz w:val="28"/>
          <w:u w:val="single"/>
        </w:rPr>
      </w:pPr>
      <w:r w:rsidRPr="003024C6">
        <w:rPr>
          <w:rFonts w:ascii="Times New Roman" w:hAnsi="Times New Roman" w:cs="Times New Roman"/>
          <w:sz w:val="28"/>
        </w:rPr>
        <w:t>Дебіторська заборгованість по державному управлінню на 01.01.2024 р. по загальному фонду становить - 186,4 тис. грн.</w:t>
      </w:r>
      <w:r w:rsidR="00954008">
        <w:rPr>
          <w:rFonts w:ascii="Times New Roman" w:hAnsi="Times New Roman" w:cs="Times New Roman"/>
          <w:sz w:val="28"/>
        </w:rPr>
        <w:t xml:space="preserve"> (</w:t>
      </w:r>
      <w:r w:rsidRPr="003024C6">
        <w:rPr>
          <w:rFonts w:ascii="Times New Roman" w:hAnsi="Times New Roman" w:cs="Times New Roman"/>
          <w:sz w:val="28"/>
        </w:rPr>
        <w:t>4,3 тис. грн. – пе</w:t>
      </w:r>
      <w:r w:rsidR="00954008">
        <w:rPr>
          <w:rFonts w:ascii="Times New Roman" w:hAnsi="Times New Roman" w:cs="Times New Roman"/>
          <w:sz w:val="28"/>
        </w:rPr>
        <w:t xml:space="preserve">редплата періодичного видання, </w:t>
      </w:r>
      <w:r w:rsidRPr="003024C6">
        <w:rPr>
          <w:rFonts w:ascii="Times New Roman" w:hAnsi="Times New Roman" w:cs="Times New Roman"/>
          <w:sz w:val="28"/>
        </w:rPr>
        <w:t>182,1 тис. грн. -</w:t>
      </w:r>
      <w:r w:rsidRPr="003024C6">
        <w:rPr>
          <w:rFonts w:ascii="Times New Roman" w:hAnsi="Times New Roman" w:cs="Times New Roman"/>
        </w:rPr>
        <w:t xml:space="preserve"> </w:t>
      </w:r>
      <w:r w:rsidRPr="003024C6">
        <w:rPr>
          <w:rFonts w:ascii="Times New Roman" w:hAnsi="Times New Roman" w:cs="Times New Roman"/>
          <w:sz w:val="28"/>
        </w:rPr>
        <w:t>попередня оплата за спожитий природний газ за грудень 2023 р.).</w:t>
      </w:r>
    </w:p>
    <w:p w:rsidR="003024C6" w:rsidRPr="003024C6" w:rsidRDefault="003024C6" w:rsidP="00A52306">
      <w:pPr>
        <w:tabs>
          <w:tab w:val="left" w:pos="1701"/>
        </w:tabs>
        <w:ind w:firstLine="709"/>
        <w:jc w:val="center"/>
        <w:rPr>
          <w:rFonts w:ascii="Times New Roman" w:hAnsi="Times New Roman" w:cs="Times New Roman"/>
          <w:sz w:val="28"/>
        </w:rPr>
      </w:pPr>
      <w:r w:rsidRPr="003024C6">
        <w:rPr>
          <w:rFonts w:ascii="Times New Roman" w:hAnsi="Times New Roman" w:cs="Times New Roman"/>
          <w:b/>
          <w:sz w:val="28"/>
          <w:u w:val="single"/>
        </w:rPr>
        <w:t>Освіта</w:t>
      </w:r>
      <w:r w:rsidR="00A52306">
        <w:rPr>
          <w:rFonts w:ascii="Times New Roman" w:hAnsi="Times New Roman" w:cs="Times New Roman"/>
          <w:b/>
          <w:sz w:val="28"/>
          <w:u w:val="single"/>
          <w:lang w:val="uk-UA"/>
        </w:rPr>
        <w:t xml:space="preserve">   </w:t>
      </w:r>
      <w:r w:rsidR="00A52306">
        <w:rPr>
          <w:rFonts w:ascii="Times New Roman" w:hAnsi="Times New Roman" w:cs="Times New Roman"/>
          <w:sz w:val="28"/>
          <w:lang w:val="uk-UA"/>
        </w:rPr>
        <w:t xml:space="preserve">                                                                                                                    У</w:t>
      </w:r>
      <w:r w:rsidRPr="003024C6">
        <w:rPr>
          <w:rFonts w:ascii="Times New Roman" w:hAnsi="Times New Roman" w:cs="Times New Roman"/>
          <w:sz w:val="28"/>
        </w:rPr>
        <w:t>становами освіти територіальної громади по загальному фонду протягом 2023 року використано коштів в сумі</w:t>
      </w:r>
      <w:r w:rsidR="0095027C">
        <w:rPr>
          <w:rFonts w:ascii="Times New Roman" w:hAnsi="Times New Roman" w:cs="Times New Roman"/>
          <w:sz w:val="28"/>
        </w:rPr>
        <w:t xml:space="preserve"> 165429,1 тис. грн., що складає </w:t>
      </w:r>
      <w:r w:rsidR="00A52306">
        <w:rPr>
          <w:rFonts w:ascii="Times New Roman" w:hAnsi="Times New Roman" w:cs="Times New Roman"/>
          <w:sz w:val="28"/>
        </w:rPr>
        <w:t xml:space="preserve">99,6 відсотка до </w:t>
      </w:r>
      <w:r w:rsidRPr="003024C6">
        <w:rPr>
          <w:rFonts w:ascii="Times New Roman" w:hAnsi="Times New Roman" w:cs="Times New Roman"/>
          <w:sz w:val="28"/>
        </w:rPr>
        <w:t>річного уточненого плану 166159,7</w:t>
      </w:r>
      <w:r w:rsidR="0095027C">
        <w:rPr>
          <w:rFonts w:ascii="Times New Roman" w:hAnsi="Times New Roman" w:cs="Times New Roman"/>
          <w:sz w:val="28"/>
          <w:lang w:val="uk-UA"/>
        </w:rPr>
        <w:t xml:space="preserve"> </w:t>
      </w:r>
      <w:r w:rsidRPr="003024C6">
        <w:rPr>
          <w:rFonts w:ascii="Times New Roman" w:hAnsi="Times New Roman" w:cs="Times New Roman"/>
          <w:sz w:val="28"/>
        </w:rPr>
        <w:t>тис. грн.</w:t>
      </w:r>
    </w:p>
    <w:p w:rsidR="003024C6" w:rsidRPr="003024C6" w:rsidRDefault="0095027C" w:rsidP="0095027C">
      <w:pPr>
        <w:tabs>
          <w:tab w:val="left" w:pos="1701"/>
        </w:tabs>
        <w:spacing w:line="240" w:lineRule="auto"/>
        <w:jc w:val="both"/>
        <w:rPr>
          <w:rFonts w:ascii="Times New Roman" w:hAnsi="Times New Roman" w:cs="Times New Roman"/>
          <w:sz w:val="28"/>
        </w:rPr>
      </w:pPr>
      <w:r>
        <w:rPr>
          <w:rFonts w:ascii="Times New Roman" w:hAnsi="Times New Roman" w:cs="Times New Roman"/>
          <w:sz w:val="28"/>
          <w:lang w:val="uk-UA"/>
        </w:rPr>
        <w:t xml:space="preserve">       </w:t>
      </w:r>
      <w:r w:rsidR="003024C6" w:rsidRPr="003024C6">
        <w:rPr>
          <w:rFonts w:ascii="Times New Roman" w:hAnsi="Times New Roman" w:cs="Times New Roman"/>
          <w:sz w:val="28"/>
        </w:rPr>
        <w:t xml:space="preserve">  Для виплати заробітної плати з нарахуванням в галузі освіти використано 133283,1 тис. грн., що в загальній сумі видатків на освіту складає 80,2 відсотка. Видатки на медикаменти та перев’язувальн</w:t>
      </w:r>
      <w:r w:rsidR="00954008">
        <w:rPr>
          <w:rFonts w:ascii="Times New Roman" w:hAnsi="Times New Roman" w:cs="Times New Roman"/>
          <w:sz w:val="28"/>
        </w:rPr>
        <w:t xml:space="preserve">і матеріали слали 22,4 тис. </w:t>
      </w:r>
      <w:r>
        <w:rPr>
          <w:rFonts w:ascii="Times New Roman" w:hAnsi="Times New Roman" w:cs="Times New Roman"/>
          <w:sz w:val="28"/>
        </w:rPr>
        <w:t>грн.</w:t>
      </w:r>
      <w:r w:rsidRPr="003024C6">
        <w:rPr>
          <w:rFonts w:ascii="Times New Roman" w:hAnsi="Times New Roman" w:cs="Times New Roman"/>
          <w:sz w:val="28"/>
        </w:rPr>
        <w:t>,</w:t>
      </w:r>
      <w:r w:rsidR="003024C6" w:rsidRPr="003024C6">
        <w:rPr>
          <w:rFonts w:ascii="Times New Roman" w:hAnsi="Times New Roman" w:cs="Times New Roman"/>
          <w:sz w:val="28"/>
        </w:rPr>
        <w:t xml:space="preserve"> на харчування склали 6353,7 тис. грн., на оплату комунальних послуг та </w:t>
      </w:r>
      <w:r w:rsidRPr="003024C6">
        <w:rPr>
          <w:rFonts w:ascii="Times New Roman" w:hAnsi="Times New Roman" w:cs="Times New Roman"/>
          <w:sz w:val="28"/>
        </w:rPr>
        <w:t>енергоносіїв –</w:t>
      </w:r>
      <w:r w:rsidR="003024C6" w:rsidRPr="003024C6">
        <w:rPr>
          <w:rFonts w:ascii="Times New Roman" w:hAnsi="Times New Roman" w:cs="Times New Roman"/>
          <w:sz w:val="28"/>
        </w:rPr>
        <w:t xml:space="preserve"> 15362,3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установах освіти проведено капітальні видатки на суму 2681,1 тис. грн., в тому числі придбання обладнання та предметів довгострокового користування – 986,1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Використано коштів по спеціальному фонду в сумі 5400,5 тис. грн., що становить 7</w:t>
      </w:r>
      <w:r w:rsidR="00954008">
        <w:rPr>
          <w:rFonts w:ascii="Times New Roman" w:hAnsi="Times New Roman" w:cs="Times New Roman"/>
          <w:sz w:val="28"/>
        </w:rPr>
        <w:t xml:space="preserve">1,3 відсотка до уточненого </w:t>
      </w:r>
      <w:r w:rsidR="0095027C">
        <w:rPr>
          <w:rFonts w:ascii="Times New Roman" w:hAnsi="Times New Roman" w:cs="Times New Roman"/>
          <w:sz w:val="28"/>
        </w:rPr>
        <w:t>план</w:t>
      </w:r>
      <w:r w:rsidR="0095027C" w:rsidRPr="003024C6">
        <w:rPr>
          <w:rFonts w:ascii="Times New Roman" w:hAnsi="Times New Roman" w:cs="Times New Roman"/>
          <w:sz w:val="28"/>
        </w:rPr>
        <w:t>,</w:t>
      </w:r>
      <w:r w:rsidRPr="003024C6">
        <w:rPr>
          <w:rFonts w:ascii="Times New Roman" w:hAnsi="Times New Roman" w:cs="Times New Roman"/>
          <w:sz w:val="28"/>
        </w:rPr>
        <w:t xml:space="preserve"> які направлено на:          </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 xml:space="preserve">харчування – 1796,6 тис. грн., </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придбання предметів матеріал</w:t>
      </w:r>
      <w:r w:rsidR="00954008">
        <w:rPr>
          <w:rFonts w:ascii="Times New Roman" w:hAnsi="Times New Roman" w:cs="Times New Roman"/>
          <w:sz w:val="28"/>
        </w:rPr>
        <w:t>ів, обладнання – 622,7 тис. грн</w:t>
      </w:r>
      <w:r w:rsidRPr="003024C6">
        <w:rPr>
          <w:rFonts w:ascii="Times New Roman" w:hAnsi="Times New Roman" w:cs="Times New Roman"/>
          <w:sz w:val="28"/>
        </w:rPr>
        <w:t>.</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оплата послуг – 143,5 тис. грн.</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 xml:space="preserve">оплату енергоносіїв – 86,2 тис. грн., </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відрядження – 20,4 тис. грн.</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капітальні видатки – 2681,1 тис. грн.,</w:t>
      </w:r>
    </w:p>
    <w:p w:rsidR="003024C6" w:rsidRPr="003024C6" w:rsidRDefault="003024C6" w:rsidP="0095027C">
      <w:pPr>
        <w:tabs>
          <w:tab w:val="left" w:pos="1701"/>
        </w:tabs>
        <w:spacing w:line="240" w:lineRule="auto"/>
        <w:ind w:left="720"/>
        <w:jc w:val="both"/>
        <w:rPr>
          <w:rFonts w:ascii="Times New Roman" w:hAnsi="Times New Roman" w:cs="Times New Roman"/>
          <w:sz w:val="28"/>
        </w:rPr>
      </w:pPr>
      <w:r w:rsidRPr="003024C6">
        <w:rPr>
          <w:rFonts w:ascii="Times New Roman" w:hAnsi="Times New Roman" w:cs="Times New Roman"/>
          <w:sz w:val="28"/>
        </w:rPr>
        <w:tab/>
        <w:t>інші виплати населенню – 50,0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По загальному фонду та по спеціальному фонду станом на 1.01.2024 року кредиторська заборгованість - відсутня.           </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Дебіторська заборгованість станом на 01.01.2024 р. по загальному фонду становить 883,1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КПКВ 1010 - 342,6 тис. грн., попередня оплата за спожитий природний газ за грудень 2023 р.</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КПКВ 1021 - 457,2 тис. грн., попередня оплата за спожитий природній газ за грудень 2023 р.</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КПКВ 1070 - 42,2 тис. грн., попередня оплата за спожитий природній газ за грудень 2023 р.</w:t>
      </w:r>
    </w:p>
    <w:p w:rsidR="003024C6" w:rsidRPr="003024C6" w:rsidRDefault="00954008" w:rsidP="0095027C">
      <w:pPr>
        <w:tabs>
          <w:tab w:val="left" w:pos="1701"/>
        </w:tabs>
        <w:spacing w:line="240" w:lineRule="auto"/>
        <w:ind w:firstLine="709"/>
        <w:jc w:val="both"/>
        <w:rPr>
          <w:rFonts w:ascii="Times New Roman" w:hAnsi="Times New Roman" w:cs="Times New Roman"/>
          <w:sz w:val="28"/>
        </w:rPr>
      </w:pPr>
      <w:r>
        <w:rPr>
          <w:rFonts w:ascii="Times New Roman" w:hAnsi="Times New Roman" w:cs="Times New Roman"/>
          <w:sz w:val="28"/>
        </w:rPr>
        <w:lastRenderedPageBreak/>
        <w:t>КПКВ 1080 - 23,2 тис</w:t>
      </w:r>
      <w:r w:rsidR="003024C6" w:rsidRPr="003024C6">
        <w:rPr>
          <w:rFonts w:ascii="Times New Roman" w:hAnsi="Times New Roman" w:cs="Times New Roman"/>
          <w:sz w:val="28"/>
        </w:rPr>
        <w:t>. грн., попередня оплата за спожитий природній газ за грудень 2023 р.</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КПКВ 1141 - 17,9 тис. грн., попередня оплата за спожитий природній газ за грудень 2023 р.</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В загальній сумі видатків бюджету по загальному фонду видатки на галузь освіти складають 57,7 відсотка. </w:t>
      </w:r>
    </w:p>
    <w:p w:rsidR="003024C6" w:rsidRPr="003024C6" w:rsidRDefault="003024C6" w:rsidP="0095027C">
      <w:pPr>
        <w:tabs>
          <w:tab w:val="left" w:pos="1701"/>
        </w:tabs>
        <w:spacing w:line="240" w:lineRule="auto"/>
        <w:ind w:firstLine="709"/>
        <w:jc w:val="center"/>
        <w:rPr>
          <w:rFonts w:ascii="Times New Roman" w:hAnsi="Times New Roman" w:cs="Times New Roman"/>
          <w:b/>
          <w:sz w:val="28"/>
          <w:u w:val="single"/>
        </w:rPr>
      </w:pPr>
      <w:r w:rsidRPr="003024C6">
        <w:rPr>
          <w:rFonts w:ascii="Times New Roman" w:hAnsi="Times New Roman" w:cs="Times New Roman"/>
          <w:b/>
          <w:sz w:val="28"/>
          <w:u w:val="single"/>
        </w:rPr>
        <w:t>Охорона здоров'я</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По установах охорони здоров'я протягом 2023 року використано коштів по загальному фонду в сумі 9154,9 тис. грн., що складає 97,3 відсотка до річного уточненого плану 9412,6 тис. грн. </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Багатопрофільна стаціонарна м</w:t>
      </w:r>
      <w:r w:rsidR="00954008">
        <w:rPr>
          <w:rFonts w:ascii="Times New Roman" w:hAnsi="Times New Roman" w:cs="Times New Roman"/>
          <w:sz w:val="28"/>
        </w:rPr>
        <w:t xml:space="preserve">едична допомога використала на </w:t>
      </w:r>
      <w:r w:rsidRPr="003024C6">
        <w:rPr>
          <w:rFonts w:ascii="Times New Roman" w:hAnsi="Times New Roman" w:cs="Times New Roman"/>
          <w:sz w:val="28"/>
        </w:rPr>
        <w:t>утримання коштів по загальному фонду в сумі 6936,0 тис. грн. пр</w:t>
      </w:r>
      <w:r w:rsidR="00954008">
        <w:rPr>
          <w:rFonts w:ascii="Times New Roman" w:hAnsi="Times New Roman" w:cs="Times New Roman"/>
          <w:sz w:val="28"/>
        </w:rPr>
        <w:t xml:space="preserve">и уточненому плані на 2023 рік </w:t>
      </w:r>
      <w:r w:rsidRPr="003024C6">
        <w:rPr>
          <w:rFonts w:ascii="Times New Roman" w:hAnsi="Times New Roman" w:cs="Times New Roman"/>
          <w:sz w:val="28"/>
        </w:rPr>
        <w:t>6950,0 тис. грн., що становить 99,8 відсотка.</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Використано коштів первинною медичною допомогою, що надається центрами первинної медико-санітарної допомоги в сумі 2070,3 тис. грн. (план 2310 тис. грн.).</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w:t>
      </w:r>
      <w:r w:rsidR="00954008">
        <w:rPr>
          <w:rFonts w:ascii="Times New Roman" w:hAnsi="Times New Roman" w:cs="Times New Roman"/>
          <w:sz w:val="28"/>
        </w:rPr>
        <w:t>На інші програми</w:t>
      </w:r>
      <w:r w:rsidRPr="003024C6">
        <w:rPr>
          <w:rFonts w:ascii="Times New Roman" w:hAnsi="Times New Roman" w:cs="Times New Roman"/>
          <w:sz w:val="28"/>
        </w:rPr>
        <w:t xml:space="preserve"> та заходи у сфері охорони здоров'я використано коштів в сумі 148,6 тис. грн. (фінансова підтримка аптеки).</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Всього медичними закладами громади за рахунок доходів спеціального фонду бюджету, що направляються на спеціальні видатки проведено видатків в сумі 5666,6 тис. грн.</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Станом на 1.01.2024 року по загальному фонду та по спеціальному фон</w:t>
      </w:r>
      <w:r w:rsidR="00954008">
        <w:rPr>
          <w:rFonts w:ascii="Times New Roman" w:hAnsi="Times New Roman" w:cs="Times New Roman"/>
          <w:sz w:val="28"/>
        </w:rPr>
        <w:t xml:space="preserve">ду кредиторська заборгованість </w:t>
      </w:r>
      <w:r w:rsidRPr="003024C6">
        <w:rPr>
          <w:rFonts w:ascii="Times New Roman" w:hAnsi="Times New Roman" w:cs="Times New Roman"/>
          <w:sz w:val="28"/>
        </w:rPr>
        <w:t>— відсутня.</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Дебіторська заборгованість станом на 01.01.2024р. по охороні здоров’я становить 99,3 тис. грн. (Первинна медична допомога населенню).</w:t>
      </w:r>
    </w:p>
    <w:p w:rsidR="003024C6" w:rsidRPr="003024C6" w:rsidRDefault="003024C6" w:rsidP="0095027C">
      <w:pPr>
        <w:tabs>
          <w:tab w:val="left" w:pos="1701"/>
        </w:tabs>
        <w:spacing w:line="240" w:lineRule="auto"/>
        <w:ind w:firstLine="709"/>
        <w:jc w:val="center"/>
        <w:rPr>
          <w:rFonts w:ascii="Times New Roman" w:hAnsi="Times New Roman" w:cs="Times New Roman"/>
          <w:b/>
          <w:sz w:val="28"/>
          <w:u w:val="single"/>
        </w:rPr>
      </w:pPr>
      <w:r w:rsidRPr="003024C6">
        <w:rPr>
          <w:rFonts w:ascii="Times New Roman" w:hAnsi="Times New Roman" w:cs="Times New Roman"/>
          <w:b/>
          <w:sz w:val="28"/>
          <w:u w:val="single"/>
        </w:rPr>
        <w:t>Соціальний захист</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На соціальний захист населення в 2023 році було використано коштів по загальному фонду в сумі 15857,4 тис. грн., що складає 96,5 відсотка до річного уточненого плану 16438,0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спеціальному фонду в 2023 році проведено видатків в загальній сумі 1809,5 тис. грн. при плані 1872,0 тис. грн., або на 96,7 відсотка.</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На утримання територіального центру соціального обслуговування використано по загальному фонду коштів в сумі 8359,2 тис. грн., що становить 98,1 відсотків до річного плану 8518,8 тис. грн.</w:t>
      </w:r>
    </w:p>
    <w:p w:rsidR="003024C6" w:rsidRPr="003024C6" w:rsidRDefault="003024C6" w:rsidP="003024C6">
      <w:pPr>
        <w:tabs>
          <w:tab w:val="left" w:pos="1701"/>
        </w:tabs>
        <w:ind w:firstLine="709"/>
        <w:jc w:val="both"/>
        <w:rPr>
          <w:rFonts w:ascii="Times New Roman" w:hAnsi="Times New Roman" w:cs="Times New Roman"/>
          <w:sz w:val="28"/>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658"/>
        <w:gridCol w:w="1729"/>
        <w:gridCol w:w="1983"/>
      </w:tblGrid>
      <w:tr w:rsidR="003024C6" w:rsidRPr="00954008" w:rsidTr="00812270">
        <w:trPr>
          <w:trHeight w:val="539"/>
        </w:trPr>
        <w:tc>
          <w:tcPr>
            <w:tcW w:w="4361"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КЕК</w:t>
            </w:r>
          </w:p>
        </w:tc>
        <w:tc>
          <w:tcPr>
            <w:tcW w:w="1658"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 xml:space="preserve">Уточнений план </w:t>
            </w:r>
          </w:p>
        </w:tc>
        <w:tc>
          <w:tcPr>
            <w:tcW w:w="1729"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 xml:space="preserve">Касові видатки </w:t>
            </w:r>
          </w:p>
        </w:tc>
        <w:tc>
          <w:tcPr>
            <w:tcW w:w="1983"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Відсоток виконання</w:t>
            </w:r>
          </w:p>
        </w:tc>
      </w:tr>
      <w:tr w:rsidR="003024C6" w:rsidRPr="003024C6" w:rsidTr="00812270">
        <w:trPr>
          <w:trHeight w:val="272"/>
        </w:trPr>
        <w:tc>
          <w:tcPr>
            <w:tcW w:w="4361" w:type="dxa"/>
            <w:shd w:val="clear" w:color="auto" w:fill="auto"/>
          </w:tcPr>
          <w:p w:rsidR="003024C6" w:rsidRPr="003024C6" w:rsidRDefault="003024C6" w:rsidP="00251AE3">
            <w:pPr>
              <w:tabs>
                <w:tab w:val="left" w:pos="1701"/>
              </w:tabs>
              <w:spacing w:line="300" w:lineRule="auto"/>
              <w:jc w:val="center"/>
              <w:rPr>
                <w:rFonts w:ascii="Times New Roman" w:hAnsi="Times New Roman" w:cs="Times New Roman"/>
                <w:b/>
              </w:rPr>
            </w:pPr>
            <w:r w:rsidRPr="003024C6">
              <w:rPr>
                <w:rFonts w:ascii="Times New Roman" w:hAnsi="Times New Roman" w:cs="Times New Roman"/>
                <w:b/>
              </w:rPr>
              <w:t>1</w:t>
            </w:r>
          </w:p>
        </w:tc>
        <w:tc>
          <w:tcPr>
            <w:tcW w:w="1658" w:type="dxa"/>
            <w:shd w:val="clear" w:color="auto" w:fill="auto"/>
          </w:tcPr>
          <w:p w:rsidR="003024C6" w:rsidRPr="003024C6" w:rsidRDefault="003024C6" w:rsidP="00251AE3">
            <w:pPr>
              <w:tabs>
                <w:tab w:val="left" w:pos="1701"/>
              </w:tabs>
              <w:spacing w:line="300" w:lineRule="auto"/>
              <w:jc w:val="center"/>
              <w:rPr>
                <w:rFonts w:ascii="Times New Roman" w:hAnsi="Times New Roman" w:cs="Times New Roman"/>
                <w:b/>
              </w:rPr>
            </w:pPr>
            <w:r w:rsidRPr="003024C6">
              <w:rPr>
                <w:rFonts w:ascii="Times New Roman" w:hAnsi="Times New Roman" w:cs="Times New Roman"/>
                <w:b/>
              </w:rPr>
              <w:t>2</w:t>
            </w:r>
          </w:p>
        </w:tc>
        <w:tc>
          <w:tcPr>
            <w:tcW w:w="1729" w:type="dxa"/>
            <w:shd w:val="clear" w:color="auto" w:fill="auto"/>
          </w:tcPr>
          <w:p w:rsidR="003024C6" w:rsidRPr="003024C6" w:rsidRDefault="003024C6" w:rsidP="00251AE3">
            <w:pPr>
              <w:tabs>
                <w:tab w:val="left" w:pos="1701"/>
              </w:tabs>
              <w:spacing w:line="300" w:lineRule="auto"/>
              <w:jc w:val="center"/>
              <w:rPr>
                <w:rFonts w:ascii="Times New Roman" w:hAnsi="Times New Roman" w:cs="Times New Roman"/>
                <w:b/>
              </w:rPr>
            </w:pPr>
            <w:r w:rsidRPr="003024C6">
              <w:rPr>
                <w:rFonts w:ascii="Times New Roman" w:hAnsi="Times New Roman" w:cs="Times New Roman"/>
                <w:b/>
              </w:rPr>
              <w:t>3</w:t>
            </w:r>
          </w:p>
        </w:tc>
        <w:tc>
          <w:tcPr>
            <w:tcW w:w="1983" w:type="dxa"/>
            <w:shd w:val="clear" w:color="auto" w:fill="auto"/>
          </w:tcPr>
          <w:p w:rsidR="003024C6" w:rsidRPr="003024C6" w:rsidRDefault="003024C6" w:rsidP="00251AE3">
            <w:pPr>
              <w:tabs>
                <w:tab w:val="left" w:pos="1701"/>
              </w:tabs>
              <w:spacing w:line="300" w:lineRule="auto"/>
              <w:jc w:val="center"/>
              <w:rPr>
                <w:rFonts w:ascii="Times New Roman" w:hAnsi="Times New Roman" w:cs="Times New Roman"/>
                <w:b/>
              </w:rPr>
            </w:pPr>
            <w:r w:rsidRPr="003024C6">
              <w:rPr>
                <w:rFonts w:ascii="Times New Roman" w:hAnsi="Times New Roman" w:cs="Times New Roman"/>
                <w:b/>
              </w:rPr>
              <w:t>4</w:t>
            </w:r>
          </w:p>
        </w:tc>
      </w:tr>
      <w:tr w:rsidR="003024C6" w:rsidRPr="003024C6" w:rsidTr="00812270">
        <w:trPr>
          <w:trHeight w:val="387"/>
        </w:trPr>
        <w:tc>
          <w:tcPr>
            <w:tcW w:w="4361" w:type="dxa"/>
            <w:shd w:val="clear" w:color="auto" w:fill="auto"/>
          </w:tcPr>
          <w:p w:rsidR="003024C6" w:rsidRPr="00954008" w:rsidRDefault="003024C6" w:rsidP="00251AE3">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t>2110  Оплата праці</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5695,2</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5640,5</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99</w:t>
            </w:r>
          </w:p>
        </w:tc>
      </w:tr>
      <w:tr w:rsidR="003024C6" w:rsidRPr="003024C6" w:rsidTr="00812270">
        <w:trPr>
          <w:trHeight w:val="387"/>
        </w:trPr>
        <w:tc>
          <w:tcPr>
            <w:tcW w:w="4361" w:type="dxa"/>
            <w:shd w:val="clear" w:color="auto" w:fill="auto"/>
          </w:tcPr>
          <w:p w:rsidR="003024C6" w:rsidRPr="00954008" w:rsidRDefault="003024C6" w:rsidP="00251AE3">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t>2120  Нарахування на з/п</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1253,0</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1214,4</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96,9</w:t>
            </w:r>
          </w:p>
        </w:tc>
      </w:tr>
      <w:tr w:rsidR="003024C6" w:rsidRPr="003024C6" w:rsidTr="00812270">
        <w:trPr>
          <w:trHeight w:val="617"/>
        </w:trPr>
        <w:tc>
          <w:tcPr>
            <w:tcW w:w="4361"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 xml:space="preserve">2210  Придбання предметів матеріалів, обладнання </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240,7</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238,3</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99</w:t>
            </w:r>
          </w:p>
        </w:tc>
      </w:tr>
      <w:tr w:rsidR="003024C6" w:rsidRPr="003024C6" w:rsidTr="00812270">
        <w:trPr>
          <w:trHeight w:val="387"/>
        </w:trPr>
        <w:tc>
          <w:tcPr>
            <w:tcW w:w="4361" w:type="dxa"/>
            <w:shd w:val="clear" w:color="auto" w:fill="auto"/>
          </w:tcPr>
          <w:p w:rsidR="003024C6" w:rsidRPr="00954008" w:rsidRDefault="003024C6" w:rsidP="00251AE3">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t>2220 Медикаменти</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150,0</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148,8</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99,2</w:t>
            </w:r>
          </w:p>
        </w:tc>
      </w:tr>
      <w:tr w:rsidR="003024C6" w:rsidRPr="003024C6" w:rsidTr="00812270">
        <w:trPr>
          <w:trHeight w:val="412"/>
        </w:trPr>
        <w:tc>
          <w:tcPr>
            <w:tcW w:w="4361" w:type="dxa"/>
            <w:shd w:val="clear" w:color="auto" w:fill="auto"/>
          </w:tcPr>
          <w:p w:rsidR="003024C6" w:rsidRPr="00954008" w:rsidRDefault="003024C6" w:rsidP="00812270">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t xml:space="preserve">2230 Придбання продуктів </w:t>
            </w:r>
            <w:r w:rsidR="00812270">
              <w:rPr>
                <w:rFonts w:ascii="Times New Roman" w:hAnsi="Times New Roman" w:cs="Times New Roman"/>
                <w:sz w:val="24"/>
                <w:szCs w:val="24"/>
                <w:lang w:val="uk-UA"/>
              </w:rPr>
              <w:t>х</w:t>
            </w:r>
            <w:r w:rsidRPr="00954008">
              <w:rPr>
                <w:rFonts w:ascii="Times New Roman" w:hAnsi="Times New Roman" w:cs="Times New Roman"/>
                <w:sz w:val="24"/>
                <w:szCs w:val="24"/>
              </w:rPr>
              <w:t xml:space="preserve">арчування </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200,0</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189,8</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95</w:t>
            </w:r>
          </w:p>
        </w:tc>
      </w:tr>
      <w:tr w:rsidR="003024C6" w:rsidRPr="003024C6" w:rsidTr="00812270">
        <w:trPr>
          <w:trHeight w:val="387"/>
        </w:trPr>
        <w:tc>
          <w:tcPr>
            <w:tcW w:w="4361" w:type="dxa"/>
            <w:shd w:val="clear" w:color="auto" w:fill="auto"/>
          </w:tcPr>
          <w:p w:rsidR="003024C6" w:rsidRPr="00954008" w:rsidRDefault="003024C6" w:rsidP="00251AE3">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t xml:space="preserve">2240 Оплата послуг </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166,6</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140,8</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84,5</w:t>
            </w:r>
          </w:p>
        </w:tc>
      </w:tr>
      <w:tr w:rsidR="003024C6" w:rsidRPr="003024C6" w:rsidTr="00812270">
        <w:trPr>
          <w:trHeight w:val="387"/>
        </w:trPr>
        <w:tc>
          <w:tcPr>
            <w:tcW w:w="4361" w:type="dxa"/>
            <w:tcBorders>
              <w:bottom w:val="single" w:sz="4" w:space="0" w:color="auto"/>
            </w:tcBorders>
            <w:shd w:val="clear" w:color="auto" w:fill="auto"/>
          </w:tcPr>
          <w:p w:rsidR="003024C6" w:rsidRPr="00954008" w:rsidRDefault="003024C6" w:rsidP="00251AE3">
            <w:pPr>
              <w:tabs>
                <w:tab w:val="left" w:pos="1701"/>
              </w:tabs>
              <w:spacing w:line="300" w:lineRule="auto"/>
              <w:rPr>
                <w:rFonts w:ascii="Times New Roman" w:hAnsi="Times New Roman" w:cs="Times New Roman"/>
                <w:sz w:val="24"/>
                <w:szCs w:val="24"/>
              </w:rPr>
            </w:pPr>
            <w:r w:rsidRPr="00954008">
              <w:rPr>
                <w:rFonts w:ascii="Times New Roman" w:hAnsi="Times New Roman" w:cs="Times New Roman"/>
                <w:sz w:val="24"/>
                <w:szCs w:val="24"/>
              </w:rPr>
              <w:lastRenderedPageBreak/>
              <w:t>2250 Видатки н відрядження</w:t>
            </w:r>
          </w:p>
        </w:tc>
        <w:tc>
          <w:tcPr>
            <w:tcW w:w="1658" w:type="dxa"/>
            <w:tcBorders>
              <w:bottom w:val="single" w:sz="4" w:space="0" w:color="auto"/>
            </w:tcBorders>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1,0</w:t>
            </w:r>
          </w:p>
        </w:tc>
        <w:tc>
          <w:tcPr>
            <w:tcW w:w="1729" w:type="dxa"/>
            <w:tcBorders>
              <w:bottom w:val="single" w:sz="4" w:space="0" w:color="auto"/>
            </w:tcBorders>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0,9</w:t>
            </w:r>
          </w:p>
        </w:tc>
        <w:tc>
          <w:tcPr>
            <w:tcW w:w="1983" w:type="dxa"/>
            <w:tcBorders>
              <w:bottom w:val="single" w:sz="4" w:space="0" w:color="auto"/>
            </w:tcBorders>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90</w:t>
            </w:r>
          </w:p>
        </w:tc>
      </w:tr>
      <w:tr w:rsidR="003024C6" w:rsidRPr="003024C6" w:rsidTr="00812270">
        <w:trPr>
          <w:trHeight w:val="416"/>
        </w:trPr>
        <w:tc>
          <w:tcPr>
            <w:tcW w:w="4361" w:type="dxa"/>
            <w:shd w:val="clear" w:color="auto" w:fill="auto"/>
          </w:tcPr>
          <w:p w:rsidR="003024C6" w:rsidRPr="00954008" w:rsidRDefault="003024C6" w:rsidP="00812270">
            <w:pPr>
              <w:tabs>
                <w:tab w:val="left" w:pos="1701"/>
              </w:tabs>
              <w:rPr>
                <w:rFonts w:ascii="Times New Roman" w:hAnsi="Times New Roman" w:cs="Times New Roman"/>
                <w:sz w:val="24"/>
                <w:szCs w:val="24"/>
              </w:rPr>
            </w:pPr>
            <w:r w:rsidRPr="00954008">
              <w:rPr>
                <w:rFonts w:ascii="Times New Roman" w:hAnsi="Times New Roman" w:cs="Times New Roman"/>
                <w:sz w:val="24"/>
                <w:szCs w:val="24"/>
              </w:rPr>
              <w:t xml:space="preserve">2270   Оплата комунальних послуг та енергоносіїв        </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811,7</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785,1</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96,7</w:t>
            </w:r>
          </w:p>
        </w:tc>
      </w:tr>
      <w:tr w:rsidR="003024C6" w:rsidRPr="003024C6" w:rsidTr="00812270">
        <w:trPr>
          <w:trHeight w:val="286"/>
        </w:trPr>
        <w:tc>
          <w:tcPr>
            <w:tcW w:w="4361" w:type="dxa"/>
            <w:shd w:val="clear" w:color="auto" w:fill="auto"/>
          </w:tcPr>
          <w:p w:rsidR="003024C6" w:rsidRPr="00954008" w:rsidRDefault="003024C6" w:rsidP="00812270">
            <w:pPr>
              <w:tabs>
                <w:tab w:val="left" w:pos="1701"/>
              </w:tabs>
              <w:rPr>
                <w:rFonts w:ascii="Times New Roman" w:hAnsi="Times New Roman" w:cs="Times New Roman"/>
                <w:sz w:val="24"/>
                <w:szCs w:val="24"/>
              </w:rPr>
            </w:pPr>
            <w:r w:rsidRPr="00954008">
              <w:rPr>
                <w:rFonts w:ascii="Times New Roman" w:hAnsi="Times New Roman" w:cs="Times New Roman"/>
                <w:sz w:val="24"/>
                <w:szCs w:val="24"/>
                <w:lang w:val="en-US"/>
              </w:rPr>
              <w:t xml:space="preserve">2800 </w:t>
            </w:r>
            <w:r w:rsidRPr="00954008">
              <w:rPr>
                <w:rFonts w:ascii="Times New Roman" w:hAnsi="Times New Roman" w:cs="Times New Roman"/>
                <w:sz w:val="24"/>
                <w:szCs w:val="24"/>
              </w:rPr>
              <w:t>Інші поточні видатки</w:t>
            </w:r>
          </w:p>
        </w:tc>
        <w:tc>
          <w:tcPr>
            <w:tcW w:w="1658"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0,6</w:t>
            </w:r>
          </w:p>
        </w:tc>
        <w:tc>
          <w:tcPr>
            <w:tcW w:w="1729"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0,6</w:t>
            </w:r>
          </w:p>
        </w:tc>
        <w:tc>
          <w:tcPr>
            <w:tcW w:w="1983"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100</w:t>
            </w:r>
          </w:p>
        </w:tc>
      </w:tr>
    </w:tbl>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Територіальним центром соціального обслуговування по спеціальному фонду за рахунок коштів інших джерел власних надходжень використано коштів в сумі 1017,6 тис. грн., з них на КЕКВ 2100 -159,3 тис. грн. КЕКВ 2210 - 122,8 тис. грн., КЕКВ 2220 -32,7 тис. грн., КЕКВ 2230 - 702,8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На утримання та </w:t>
      </w:r>
      <w:r w:rsidR="00954008">
        <w:rPr>
          <w:rFonts w:ascii="Times New Roman" w:hAnsi="Times New Roman" w:cs="Times New Roman"/>
          <w:sz w:val="28"/>
        </w:rPr>
        <w:t xml:space="preserve">забезпечення діяльності центру </w:t>
      </w:r>
      <w:r w:rsidRPr="003024C6">
        <w:rPr>
          <w:rFonts w:ascii="Times New Roman" w:hAnsi="Times New Roman" w:cs="Times New Roman"/>
          <w:sz w:val="28"/>
        </w:rPr>
        <w:t xml:space="preserve">соціальних служб (відділення соціальної служби </w:t>
      </w:r>
      <w:r w:rsidR="0095027C" w:rsidRPr="003024C6">
        <w:rPr>
          <w:rFonts w:ascii="Times New Roman" w:hAnsi="Times New Roman" w:cs="Times New Roman"/>
          <w:sz w:val="28"/>
        </w:rPr>
        <w:t>у справ</w:t>
      </w:r>
      <w:r w:rsidR="0095027C">
        <w:rPr>
          <w:rFonts w:ascii="Times New Roman" w:hAnsi="Times New Roman" w:cs="Times New Roman"/>
          <w:sz w:val="28"/>
          <w:lang w:val="uk-UA"/>
        </w:rPr>
        <w:t>ах</w:t>
      </w:r>
      <w:r w:rsidRPr="003024C6">
        <w:rPr>
          <w:rFonts w:ascii="Times New Roman" w:hAnsi="Times New Roman" w:cs="Times New Roman"/>
          <w:sz w:val="28"/>
        </w:rPr>
        <w:t xml:space="preserve"> сім'</w:t>
      </w:r>
      <w:r w:rsidR="00954008">
        <w:rPr>
          <w:rFonts w:ascii="Times New Roman" w:hAnsi="Times New Roman" w:cs="Times New Roman"/>
          <w:sz w:val="28"/>
        </w:rPr>
        <w:t>ї та молоді) використано коштів</w:t>
      </w:r>
      <w:r w:rsidRPr="003024C6">
        <w:rPr>
          <w:rFonts w:ascii="Times New Roman" w:hAnsi="Times New Roman" w:cs="Times New Roman"/>
          <w:sz w:val="28"/>
        </w:rPr>
        <w:t xml:space="preserve"> в сумі 640,8 тис. грн., що становить 86,5 відсотків до річного плану 740,6</w:t>
      </w:r>
      <w:r w:rsidR="0095027C">
        <w:rPr>
          <w:rFonts w:ascii="Times New Roman" w:hAnsi="Times New Roman" w:cs="Times New Roman"/>
          <w:sz w:val="28"/>
        </w:rPr>
        <w:t xml:space="preserve"> </w:t>
      </w:r>
      <w:r w:rsidRPr="003024C6">
        <w:rPr>
          <w:rFonts w:ascii="Times New Roman" w:hAnsi="Times New Roman" w:cs="Times New Roman"/>
          <w:sz w:val="28"/>
        </w:rPr>
        <w:t>тис. грн.</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126"/>
        <w:gridCol w:w="1843"/>
        <w:gridCol w:w="2154"/>
      </w:tblGrid>
      <w:tr w:rsidR="003024C6" w:rsidRPr="003024C6" w:rsidTr="00251AE3">
        <w:trPr>
          <w:trHeight w:val="563"/>
        </w:trPr>
        <w:tc>
          <w:tcPr>
            <w:tcW w:w="3652"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КЕК</w:t>
            </w:r>
          </w:p>
        </w:tc>
        <w:tc>
          <w:tcPr>
            <w:tcW w:w="2126"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Затверджено з урахуванням змін</w:t>
            </w:r>
          </w:p>
        </w:tc>
        <w:tc>
          <w:tcPr>
            <w:tcW w:w="1843"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Касові видатки</w:t>
            </w:r>
          </w:p>
        </w:tc>
        <w:tc>
          <w:tcPr>
            <w:tcW w:w="2154"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Відсоток виконання</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2110  Оплата праці</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501,3</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440,2</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94,3</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2120  Нарахування на з/п</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120,5</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96,8</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80,3</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 xml:space="preserve">2210  Придбання предметів матеріалів, обладнання </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55,2</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45,1</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81,7</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2230 Придбання продуктів харчування</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47,6</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47,6</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100,0</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2240 Оплата послуг</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15,0</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10,0</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66,6</w:t>
            </w:r>
          </w:p>
        </w:tc>
      </w:tr>
      <w:tr w:rsidR="003024C6" w:rsidRPr="003024C6" w:rsidTr="00251AE3">
        <w:tc>
          <w:tcPr>
            <w:tcW w:w="3652"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2250 Видатки на відрядження</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w:t>
            </w:r>
          </w:p>
        </w:tc>
        <w:tc>
          <w:tcPr>
            <w:tcW w:w="1843"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0,9</w:t>
            </w:r>
          </w:p>
        </w:tc>
        <w:tc>
          <w:tcPr>
            <w:tcW w:w="2154" w:type="dxa"/>
            <w:shd w:val="clear" w:color="auto" w:fill="auto"/>
          </w:tcPr>
          <w:p w:rsidR="003024C6" w:rsidRPr="00954008" w:rsidRDefault="003024C6" w:rsidP="00812270">
            <w:pPr>
              <w:tabs>
                <w:tab w:val="left" w:pos="1701"/>
              </w:tabs>
              <w:spacing w:line="300" w:lineRule="auto"/>
              <w:jc w:val="center"/>
              <w:rPr>
                <w:rFonts w:ascii="Times New Roman" w:hAnsi="Times New Roman" w:cs="Times New Roman"/>
                <w:sz w:val="24"/>
                <w:szCs w:val="24"/>
              </w:rPr>
            </w:pPr>
            <w:r w:rsidRPr="00954008">
              <w:rPr>
                <w:rFonts w:ascii="Times New Roman" w:hAnsi="Times New Roman" w:cs="Times New Roman"/>
                <w:sz w:val="24"/>
                <w:szCs w:val="24"/>
              </w:rPr>
              <w:t>90</w:t>
            </w:r>
          </w:p>
        </w:tc>
      </w:tr>
    </w:tbl>
    <w:p w:rsidR="003024C6" w:rsidRPr="003024C6" w:rsidRDefault="0095027C" w:rsidP="0095027C">
      <w:pPr>
        <w:tabs>
          <w:tab w:val="left" w:pos="1701"/>
        </w:tabs>
        <w:spacing w:line="240" w:lineRule="auto"/>
        <w:jc w:val="both"/>
        <w:rPr>
          <w:rFonts w:ascii="Times New Roman" w:hAnsi="Times New Roman" w:cs="Times New Roman"/>
          <w:sz w:val="28"/>
        </w:rPr>
      </w:pPr>
      <w:r>
        <w:rPr>
          <w:rFonts w:ascii="Times New Roman" w:hAnsi="Times New Roman" w:cs="Times New Roman"/>
          <w:sz w:val="28"/>
          <w:lang w:val="uk-UA"/>
        </w:rPr>
        <w:t xml:space="preserve">  </w:t>
      </w:r>
      <w:r w:rsidR="003024C6" w:rsidRPr="003024C6">
        <w:rPr>
          <w:rFonts w:ascii="Times New Roman" w:hAnsi="Times New Roman" w:cs="Times New Roman"/>
          <w:sz w:val="28"/>
        </w:rPr>
        <w:t>Видатки, пов`язані з наданням підтримки внутрішньо перемішеним та/або евакуйованим особам у зв`язку із введенням воєнного стану</w:t>
      </w:r>
      <w:r w:rsidR="003024C6" w:rsidRPr="003024C6">
        <w:rPr>
          <w:rFonts w:ascii="Times New Roman" w:hAnsi="Times New Roman" w:cs="Times New Roman"/>
        </w:rPr>
        <w:t xml:space="preserve"> </w:t>
      </w:r>
      <w:r w:rsidR="00954008">
        <w:rPr>
          <w:rFonts w:ascii="Times New Roman" w:hAnsi="Times New Roman" w:cs="Times New Roman"/>
          <w:sz w:val="28"/>
        </w:rPr>
        <w:t>використано коштів</w:t>
      </w:r>
      <w:r w:rsidR="003024C6" w:rsidRPr="003024C6">
        <w:rPr>
          <w:rFonts w:ascii="Times New Roman" w:hAnsi="Times New Roman" w:cs="Times New Roman"/>
          <w:sz w:val="28"/>
        </w:rPr>
        <w:t>:</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загальному фонду в сумі 275,2 тис. грн., що становить 98,3 відсотків до річного плану 280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спеціальному фонду в сумі 752,3 тис. грн., що становить 100 відсотків до річного плану 752,3 тис. грн.</w:t>
      </w:r>
    </w:p>
    <w:p w:rsidR="003024C6" w:rsidRPr="003024C6" w:rsidRDefault="0095027C" w:rsidP="0095027C">
      <w:pPr>
        <w:tabs>
          <w:tab w:val="left" w:pos="1701"/>
        </w:tabs>
        <w:spacing w:line="240" w:lineRule="auto"/>
        <w:jc w:val="both"/>
        <w:rPr>
          <w:rFonts w:ascii="Times New Roman" w:hAnsi="Times New Roman" w:cs="Times New Roman"/>
          <w:sz w:val="28"/>
        </w:rPr>
      </w:pPr>
      <w:r>
        <w:rPr>
          <w:rFonts w:ascii="Times New Roman" w:hAnsi="Times New Roman" w:cs="Times New Roman"/>
          <w:sz w:val="28"/>
        </w:rPr>
        <w:t xml:space="preserve">   </w:t>
      </w:r>
      <w:r w:rsidR="003024C6" w:rsidRPr="003024C6">
        <w:rPr>
          <w:rFonts w:ascii="Times New Roman" w:hAnsi="Times New Roman" w:cs="Times New Roman"/>
          <w:sz w:val="28"/>
        </w:rPr>
        <w:t xml:space="preserve"> По загальному та спеціальному фонду станом на 1.01.2024 ро</w:t>
      </w:r>
      <w:r w:rsidR="00954008">
        <w:rPr>
          <w:rFonts w:ascii="Times New Roman" w:hAnsi="Times New Roman" w:cs="Times New Roman"/>
          <w:sz w:val="28"/>
        </w:rPr>
        <w:t xml:space="preserve">ку кредиторська заборгованість </w:t>
      </w:r>
      <w:r w:rsidR="003024C6" w:rsidRPr="003024C6">
        <w:rPr>
          <w:rFonts w:ascii="Times New Roman" w:hAnsi="Times New Roman" w:cs="Times New Roman"/>
          <w:sz w:val="28"/>
        </w:rPr>
        <w:t>-відсутня.</w:t>
      </w:r>
    </w:p>
    <w:p w:rsidR="003024C6" w:rsidRPr="003024C6" w:rsidRDefault="0095027C" w:rsidP="0095027C">
      <w:pPr>
        <w:tabs>
          <w:tab w:val="left" w:pos="1701"/>
        </w:tabs>
        <w:spacing w:line="240" w:lineRule="auto"/>
        <w:jc w:val="both"/>
        <w:rPr>
          <w:rFonts w:ascii="Times New Roman" w:hAnsi="Times New Roman" w:cs="Times New Roman"/>
          <w:b/>
          <w:sz w:val="28"/>
          <w:u w:val="single"/>
        </w:rPr>
      </w:pPr>
      <w:r>
        <w:rPr>
          <w:rFonts w:ascii="Times New Roman" w:hAnsi="Times New Roman" w:cs="Times New Roman"/>
          <w:bCs/>
          <w:sz w:val="28"/>
          <w:szCs w:val="28"/>
          <w:lang w:val="uk-UA"/>
        </w:rPr>
        <w:t xml:space="preserve">   </w:t>
      </w:r>
      <w:r w:rsidR="003024C6" w:rsidRPr="003024C6">
        <w:rPr>
          <w:rFonts w:ascii="Times New Roman" w:hAnsi="Times New Roman" w:cs="Times New Roman"/>
          <w:bCs/>
          <w:sz w:val="28"/>
          <w:szCs w:val="28"/>
        </w:rPr>
        <w:t>Дебіторська заборгованість на 01.01.2024р. по загальному фонду -2,0 тис. грн.</w:t>
      </w:r>
    </w:p>
    <w:p w:rsidR="003024C6" w:rsidRPr="003024C6" w:rsidRDefault="003024C6" w:rsidP="003024C6">
      <w:pPr>
        <w:tabs>
          <w:tab w:val="left" w:pos="1701"/>
        </w:tabs>
        <w:ind w:firstLine="709"/>
        <w:jc w:val="center"/>
        <w:rPr>
          <w:rFonts w:ascii="Times New Roman" w:hAnsi="Times New Roman" w:cs="Times New Roman"/>
          <w:b/>
          <w:color w:val="FF0000"/>
          <w:sz w:val="28"/>
          <w:u w:val="single"/>
        </w:rPr>
      </w:pPr>
      <w:r w:rsidRPr="003024C6">
        <w:rPr>
          <w:rFonts w:ascii="Times New Roman" w:hAnsi="Times New Roman" w:cs="Times New Roman"/>
          <w:b/>
          <w:sz w:val="28"/>
          <w:u w:val="single"/>
        </w:rPr>
        <w:t xml:space="preserve">Культура </w:t>
      </w:r>
    </w:p>
    <w:p w:rsid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установах культури по загальному фонду в 2023 році використано коштів в сумі</w:t>
      </w:r>
      <w:r w:rsidR="00954008">
        <w:rPr>
          <w:rFonts w:ascii="Times New Roman" w:hAnsi="Times New Roman" w:cs="Times New Roman"/>
          <w:sz w:val="28"/>
        </w:rPr>
        <w:t xml:space="preserve"> 16222,4 </w:t>
      </w:r>
      <w:r w:rsidRPr="003024C6">
        <w:rPr>
          <w:rFonts w:ascii="Times New Roman" w:hAnsi="Times New Roman" w:cs="Times New Roman"/>
          <w:sz w:val="28"/>
        </w:rPr>
        <w:t xml:space="preserve">тис. грн., що складає 97,6 відсотка до річного уточненого плану 16624,3 тис. грн. </w:t>
      </w:r>
    </w:p>
    <w:p w:rsidR="0095027C" w:rsidRPr="003024C6" w:rsidRDefault="0095027C" w:rsidP="0095027C">
      <w:pPr>
        <w:tabs>
          <w:tab w:val="left" w:pos="1701"/>
        </w:tabs>
        <w:spacing w:line="240" w:lineRule="auto"/>
        <w:ind w:firstLine="709"/>
        <w:jc w:val="both"/>
        <w:rPr>
          <w:rFonts w:ascii="Times New Roman" w:hAnsi="Times New Roman" w:cs="Times New Roman"/>
          <w:color w:val="FF0000"/>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gridCol w:w="1701"/>
        <w:gridCol w:w="1985"/>
      </w:tblGrid>
      <w:tr w:rsidR="003024C6" w:rsidRPr="003024C6" w:rsidTr="00251AE3">
        <w:trPr>
          <w:tblHeader/>
        </w:trPr>
        <w:tc>
          <w:tcPr>
            <w:tcW w:w="3794"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Назва видатків</w:t>
            </w:r>
          </w:p>
        </w:tc>
        <w:tc>
          <w:tcPr>
            <w:tcW w:w="2126"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Затверджено з урахуванням змін</w:t>
            </w:r>
          </w:p>
        </w:tc>
        <w:tc>
          <w:tcPr>
            <w:tcW w:w="1701"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Касові видатки</w:t>
            </w:r>
          </w:p>
        </w:tc>
        <w:tc>
          <w:tcPr>
            <w:tcW w:w="1985" w:type="dxa"/>
            <w:shd w:val="clear" w:color="auto" w:fill="auto"/>
          </w:tcPr>
          <w:p w:rsidR="003024C6" w:rsidRPr="00954008" w:rsidRDefault="003024C6" w:rsidP="00251AE3">
            <w:pPr>
              <w:tabs>
                <w:tab w:val="left" w:pos="1701"/>
              </w:tabs>
              <w:jc w:val="center"/>
              <w:rPr>
                <w:rFonts w:ascii="Times New Roman" w:hAnsi="Times New Roman" w:cs="Times New Roman"/>
                <w:b/>
                <w:sz w:val="24"/>
                <w:szCs w:val="24"/>
              </w:rPr>
            </w:pPr>
            <w:r w:rsidRPr="00954008">
              <w:rPr>
                <w:rFonts w:ascii="Times New Roman" w:hAnsi="Times New Roman" w:cs="Times New Roman"/>
                <w:b/>
                <w:sz w:val="24"/>
                <w:szCs w:val="24"/>
              </w:rPr>
              <w:t>Відсоток виконання</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 xml:space="preserve">2110  Оплата праці </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10977,2</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10976,3</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100,0</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2120  Нарахування на з/п</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2451,1</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2450,8</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99,9</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 xml:space="preserve">2210  Придбання предметів матеріалів, обладнання </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1211,9</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1182,5</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97,6</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lastRenderedPageBreak/>
              <w:t>2240 Оплата послуг</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840,6</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749,0</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89,1</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2250 Оплата відряджень</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53,9</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53,6</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99,5</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2270   Оплата комунальних послуг та енергоносіїв</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1078,6</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801,1</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74,3</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2730 Інші виплати населенню</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9,0</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9,0</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100</w:t>
            </w:r>
          </w:p>
        </w:tc>
      </w:tr>
      <w:tr w:rsidR="003024C6" w:rsidRPr="003024C6" w:rsidTr="00251AE3">
        <w:tc>
          <w:tcPr>
            <w:tcW w:w="3794" w:type="dxa"/>
            <w:shd w:val="clear" w:color="auto" w:fill="auto"/>
          </w:tcPr>
          <w:p w:rsidR="003024C6" w:rsidRPr="00954008" w:rsidRDefault="003024C6" w:rsidP="00251AE3">
            <w:pPr>
              <w:tabs>
                <w:tab w:val="left" w:pos="1701"/>
              </w:tabs>
              <w:rPr>
                <w:rFonts w:ascii="Times New Roman" w:hAnsi="Times New Roman" w:cs="Times New Roman"/>
                <w:sz w:val="24"/>
                <w:szCs w:val="24"/>
              </w:rPr>
            </w:pPr>
            <w:r w:rsidRPr="00954008">
              <w:rPr>
                <w:rFonts w:ascii="Times New Roman" w:hAnsi="Times New Roman" w:cs="Times New Roman"/>
                <w:sz w:val="24"/>
                <w:szCs w:val="24"/>
              </w:rPr>
              <w:t>2800 Інші поточні видатки</w:t>
            </w:r>
          </w:p>
        </w:tc>
        <w:tc>
          <w:tcPr>
            <w:tcW w:w="2126"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2,0</w:t>
            </w:r>
          </w:p>
        </w:tc>
        <w:tc>
          <w:tcPr>
            <w:tcW w:w="1701"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0,1</w:t>
            </w:r>
          </w:p>
        </w:tc>
        <w:tc>
          <w:tcPr>
            <w:tcW w:w="1985" w:type="dxa"/>
            <w:shd w:val="clear" w:color="auto" w:fill="auto"/>
          </w:tcPr>
          <w:p w:rsidR="003024C6" w:rsidRPr="00954008" w:rsidRDefault="003024C6" w:rsidP="00812270">
            <w:pPr>
              <w:tabs>
                <w:tab w:val="left" w:pos="1701"/>
              </w:tabs>
              <w:jc w:val="center"/>
              <w:rPr>
                <w:rFonts w:ascii="Times New Roman" w:hAnsi="Times New Roman" w:cs="Times New Roman"/>
                <w:sz w:val="24"/>
                <w:szCs w:val="24"/>
              </w:rPr>
            </w:pPr>
            <w:r w:rsidRPr="00954008">
              <w:rPr>
                <w:rFonts w:ascii="Times New Roman" w:hAnsi="Times New Roman" w:cs="Times New Roman"/>
                <w:sz w:val="24"/>
                <w:szCs w:val="24"/>
              </w:rPr>
              <w:t>5,0</w:t>
            </w:r>
          </w:p>
        </w:tc>
      </w:tr>
    </w:tbl>
    <w:p w:rsidR="003024C6" w:rsidRPr="0095027C" w:rsidRDefault="0095027C" w:rsidP="0095027C">
      <w:pPr>
        <w:tabs>
          <w:tab w:val="left" w:pos="1701"/>
        </w:tabs>
        <w:jc w:val="both"/>
        <w:rPr>
          <w:rFonts w:ascii="Times New Roman" w:hAnsi="Times New Roman" w:cs="Times New Roman"/>
          <w:sz w:val="28"/>
        </w:rPr>
      </w:pPr>
      <w:r>
        <w:rPr>
          <w:rFonts w:ascii="Times New Roman" w:hAnsi="Times New Roman" w:cs="Times New Roman"/>
          <w:sz w:val="28"/>
          <w:lang w:val="uk-UA"/>
        </w:rPr>
        <w:t xml:space="preserve">     </w:t>
      </w:r>
      <w:r w:rsidR="003024C6" w:rsidRPr="003024C6">
        <w:rPr>
          <w:rFonts w:ascii="Times New Roman" w:hAnsi="Times New Roman" w:cs="Times New Roman"/>
          <w:sz w:val="28"/>
        </w:rPr>
        <w:t xml:space="preserve"> По спеціальному фонду проведено видатків в сумі 597,8 тис.грн. що складає 94,2 відсотка до річного уточненого плану 634,8 тис. грн.</w:t>
      </w:r>
    </w:p>
    <w:p w:rsidR="00A52306" w:rsidRDefault="003024C6" w:rsidP="00A52306">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Кредиторська заборгованість по загальному</w:t>
      </w:r>
      <w:r w:rsidR="00954008">
        <w:rPr>
          <w:rFonts w:ascii="Times New Roman" w:hAnsi="Times New Roman" w:cs="Times New Roman"/>
          <w:sz w:val="28"/>
        </w:rPr>
        <w:t xml:space="preserve"> та спеціальному фонду</w:t>
      </w:r>
      <w:r w:rsidRPr="003024C6">
        <w:rPr>
          <w:rFonts w:ascii="Times New Roman" w:hAnsi="Times New Roman" w:cs="Times New Roman"/>
          <w:sz w:val="28"/>
        </w:rPr>
        <w:t xml:space="preserve"> станом </w:t>
      </w:r>
      <w:r w:rsidR="00A52306">
        <w:rPr>
          <w:rFonts w:ascii="Times New Roman" w:hAnsi="Times New Roman" w:cs="Times New Roman"/>
          <w:sz w:val="28"/>
          <w:lang w:val="uk-UA"/>
        </w:rPr>
        <w:t>н</w:t>
      </w:r>
      <w:r w:rsidRPr="003024C6">
        <w:rPr>
          <w:rFonts w:ascii="Times New Roman" w:hAnsi="Times New Roman" w:cs="Times New Roman"/>
          <w:sz w:val="28"/>
        </w:rPr>
        <w:t>а</w:t>
      </w:r>
      <w:r w:rsidR="00A52306">
        <w:rPr>
          <w:rFonts w:ascii="Times New Roman" w:hAnsi="Times New Roman" w:cs="Times New Roman"/>
          <w:sz w:val="28"/>
          <w:lang w:val="uk-UA"/>
        </w:rPr>
        <w:t xml:space="preserve">    </w:t>
      </w:r>
      <w:r w:rsidRPr="003024C6">
        <w:rPr>
          <w:rFonts w:ascii="Times New Roman" w:hAnsi="Times New Roman" w:cs="Times New Roman"/>
          <w:sz w:val="28"/>
        </w:rPr>
        <w:t>1.01.2024</w:t>
      </w:r>
      <w:r w:rsidR="00A52306">
        <w:rPr>
          <w:rFonts w:ascii="Times New Roman" w:hAnsi="Times New Roman" w:cs="Times New Roman"/>
          <w:sz w:val="28"/>
          <w:lang w:val="uk-UA"/>
        </w:rPr>
        <w:t xml:space="preserve"> </w:t>
      </w:r>
      <w:r w:rsidR="00954008">
        <w:rPr>
          <w:rFonts w:ascii="Times New Roman" w:hAnsi="Times New Roman" w:cs="Times New Roman"/>
          <w:sz w:val="28"/>
        </w:rPr>
        <w:t>року</w:t>
      </w:r>
      <w:r w:rsidRPr="003024C6">
        <w:rPr>
          <w:rFonts w:ascii="Times New Roman" w:hAnsi="Times New Roman" w:cs="Times New Roman"/>
          <w:sz w:val="28"/>
        </w:rPr>
        <w:t xml:space="preserve"> </w:t>
      </w:r>
      <w:r w:rsidR="0095027C" w:rsidRPr="003024C6">
        <w:rPr>
          <w:rFonts w:ascii="Times New Roman" w:hAnsi="Times New Roman" w:cs="Times New Roman"/>
          <w:sz w:val="28"/>
        </w:rPr>
        <w:t>відсутня.</w:t>
      </w:r>
    </w:p>
    <w:p w:rsidR="003024C6" w:rsidRPr="003024C6" w:rsidRDefault="00A52306" w:rsidP="00A52306">
      <w:pPr>
        <w:tabs>
          <w:tab w:val="left" w:pos="1701"/>
        </w:tabs>
        <w:spacing w:line="240" w:lineRule="auto"/>
        <w:jc w:val="both"/>
        <w:rPr>
          <w:rFonts w:ascii="Times New Roman" w:hAnsi="Times New Roman" w:cs="Times New Roman"/>
          <w:sz w:val="28"/>
        </w:rPr>
      </w:pPr>
      <w:r>
        <w:rPr>
          <w:rFonts w:ascii="Times New Roman" w:hAnsi="Times New Roman" w:cs="Times New Roman"/>
          <w:sz w:val="28"/>
          <w:lang w:val="uk-UA"/>
        </w:rPr>
        <w:t xml:space="preserve">      </w:t>
      </w:r>
      <w:r w:rsidR="00954008">
        <w:rPr>
          <w:rFonts w:ascii="Times New Roman" w:hAnsi="Times New Roman" w:cs="Times New Roman"/>
          <w:sz w:val="28"/>
        </w:rPr>
        <w:t xml:space="preserve">Дебіторська заборгованість </w:t>
      </w:r>
      <w:r w:rsidR="003024C6" w:rsidRPr="003024C6">
        <w:rPr>
          <w:rFonts w:ascii="Times New Roman" w:hAnsi="Times New Roman" w:cs="Times New Roman"/>
          <w:sz w:val="28"/>
        </w:rPr>
        <w:t xml:space="preserve">станом на 01.01.2024 року по загальному фонду становить 105,1 тис. грн. (попередня оплата за природній газ за грудень 2023 року):  </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КПКВ 4030 по КЕКВ 2274 в сумі 40,0 тис. грн. </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КПКВ 4040 по КЕКВ 2274 в сумі 14,1 тис. грн.</w:t>
      </w:r>
    </w:p>
    <w:p w:rsidR="003024C6" w:rsidRPr="003024C6" w:rsidRDefault="003024C6" w:rsidP="0095027C">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КПКВ 4060 по КЕКВ 2274 в сумі 51,0 тис. грн.</w:t>
      </w:r>
    </w:p>
    <w:p w:rsidR="003024C6" w:rsidRPr="003024C6" w:rsidRDefault="003024C6" w:rsidP="0095027C">
      <w:pPr>
        <w:tabs>
          <w:tab w:val="left" w:pos="1701"/>
        </w:tabs>
        <w:spacing w:line="240" w:lineRule="auto"/>
        <w:jc w:val="both"/>
        <w:rPr>
          <w:rFonts w:ascii="Times New Roman" w:hAnsi="Times New Roman" w:cs="Times New Roman"/>
          <w:b/>
          <w:sz w:val="28"/>
          <w:u w:val="single"/>
        </w:rPr>
      </w:pPr>
      <w:r w:rsidRPr="003024C6">
        <w:rPr>
          <w:rFonts w:ascii="Times New Roman" w:hAnsi="Times New Roman" w:cs="Times New Roman"/>
          <w:sz w:val="28"/>
        </w:rPr>
        <w:t xml:space="preserve">   По спеціальному фонду </w:t>
      </w:r>
      <w:r w:rsidR="00954008">
        <w:rPr>
          <w:rFonts w:ascii="Times New Roman" w:hAnsi="Times New Roman" w:cs="Times New Roman"/>
          <w:sz w:val="28"/>
        </w:rPr>
        <w:t xml:space="preserve">дебіторська заборгованість </w:t>
      </w:r>
      <w:r w:rsidRPr="003024C6">
        <w:rPr>
          <w:rFonts w:ascii="Times New Roman" w:hAnsi="Times New Roman" w:cs="Times New Roman"/>
          <w:sz w:val="28"/>
        </w:rPr>
        <w:t>-  відсутня.</w:t>
      </w:r>
    </w:p>
    <w:p w:rsidR="003024C6" w:rsidRPr="003024C6" w:rsidRDefault="003024C6" w:rsidP="0095027C">
      <w:pPr>
        <w:tabs>
          <w:tab w:val="left" w:pos="1701"/>
        </w:tabs>
        <w:spacing w:line="240" w:lineRule="auto"/>
        <w:ind w:firstLine="709"/>
        <w:jc w:val="center"/>
        <w:rPr>
          <w:rFonts w:ascii="Times New Roman" w:hAnsi="Times New Roman" w:cs="Times New Roman"/>
          <w:b/>
          <w:sz w:val="28"/>
          <w:u w:val="single"/>
        </w:rPr>
      </w:pPr>
      <w:r w:rsidRPr="003024C6">
        <w:rPr>
          <w:rFonts w:ascii="Times New Roman" w:hAnsi="Times New Roman" w:cs="Times New Roman"/>
          <w:b/>
          <w:sz w:val="28"/>
          <w:u w:val="single"/>
        </w:rPr>
        <w:t>Фізична культура і спорт</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Установами фізичної культури і спорту протягом 2023 року використано коштів в сумі 5673,5 тис. грн., що складає 99,2 відсотка до річного уточненого плану 5720,7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спеціальному фонду в 2023 році проведено видатків в загальній сумі 327,0 тис. грн. при плані 327,0 тис. грн., або на 100 відсотка.</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На утримання ДЮСШОР відділу освіти використано 4662,8 тис. грн., при плані – 4679,5 тис. грн., з них на виплату заробітної плати з н</w:t>
      </w:r>
      <w:r w:rsidR="00954008">
        <w:rPr>
          <w:rFonts w:ascii="Times New Roman" w:hAnsi="Times New Roman" w:cs="Times New Roman"/>
          <w:sz w:val="28"/>
        </w:rPr>
        <w:t xml:space="preserve">арахуванням використано 3944,2 </w:t>
      </w:r>
      <w:r w:rsidRPr="003024C6">
        <w:rPr>
          <w:rFonts w:ascii="Times New Roman" w:hAnsi="Times New Roman" w:cs="Times New Roman"/>
          <w:sz w:val="28"/>
        </w:rPr>
        <w:t>тис. грн., що складає 69,5 від</w:t>
      </w:r>
      <w:r w:rsidR="00954008">
        <w:rPr>
          <w:rFonts w:ascii="Times New Roman" w:hAnsi="Times New Roman" w:cs="Times New Roman"/>
          <w:sz w:val="28"/>
        </w:rPr>
        <w:t>сотка в сумі видатків на галузь</w:t>
      </w:r>
      <w:r w:rsidRPr="003024C6">
        <w:rPr>
          <w:rFonts w:ascii="Times New Roman" w:hAnsi="Times New Roman" w:cs="Times New Roman"/>
          <w:sz w:val="28"/>
        </w:rPr>
        <w:t>, на оплату комунальних послуг та енергоносіїв – 85,0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Надано фінансової підтримки громадським організаціям протягом звітного періоду в сумі 263,2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ГО «МСК «Роксолана» — 150,0 тис. </w:t>
      </w:r>
      <w:r w:rsidR="0095027C" w:rsidRPr="003024C6">
        <w:rPr>
          <w:rFonts w:ascii="Times New Roman" w:hAnsi="Times New Roman" w:cs="Times New Roman"/>
          <w:sz w:val="28"/>
        </w:rPr>
        <w:t>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ГО «Футбольний клуб «Рогатин» - 100,0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ГО «Футбольний клуб «Рогатин» - 13,2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По спеціальному фонду протягом року використано кошти в сумі 327,0 тис. грн.</w:t>
      </w:r>
      <w:r w:rsidR="0095027C" w:rsidRPr="003024C6">
        <w:rPr>
          <w:rFonts w:ascii="Times New Roman" w:hAnsi="Times New Roman" w:cs="Times New Roman"/>
          <w:sz w:val="28"/>
        </w:rPr>
        <w:t>, по</w:t>
      </w:r>
      <w:r w:rsidRPr="003024C6">
        <w:rPr>
          <w:rFonts w:ascii="Times New Roman" w:hAnsi="Times New Roman" w:cs="Times New Roman"/>
          <w:sz w:val="28"/>
        </w:rPr>
        <w:t xml:space="preserve"> КПКВ 5031 </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 xml:space="preserve">      По загальному фонду та по спеціальному фонду станом на 1.01.2024 року кредиторська заборгованість –</w:t>
      </w:r>
      <w:r w:rsidR="0095027C" w:rsidRPr="003024C6">
        <w:rPr>
          <w:rFonts w:ascii="Times New Roman" w:hAnsi="Times New Roman" w:cs="Times New Roman"/>
          <w:sz w:val="28"/>
        </w:rPr>
        <w:t>відсутня.</w:t>
      </w:r>
      <w:r w:rsidRPr="003024C6">
        <w:rPr>
          <w:rFonts w:ascii="Times New Roman" w:hAnsi="Times New Roman" w:cs="Times New Roman"/>
          <w:sz w:val="28"/>
        </w:rPr>
        <w:t xml:space="preserve"> </w:t>
      </w:r>
    </w:p>
    <w:p w:rsidR="003024C6" w:rsidRPr="003024C6" w:rsidRDefault="003024C6" w:rsidP="0095027C">
      <w:pPr>
        <w:tabs>
          <w:tab w:val="left" w:pos="1701"/>
        </w:tabs>
        <w:spacing w:line="240" w:lineRule="auto"/>
        <w:ind w:firstLine="709"/>
        <w:jc w:val="both"/>
        <w:rPr>
          <w:rFonts w:ascii="Times New Roman" w:hAnsi="Times New Roman" w:cs="Times New Roman"/>
          <w:color w:val="FF0000"/>
          <w:sz w:val="28"/>
        </w:rPr>
      </w:pPr>
      <w:r w:rsidRPr="003024C6">
        <w:rPr>
          <w:rFonts w:ascii="Times New Roman" w:hAnsi="Times New Roman" w:cs="Times New Roman"/>
          <w:sz w:val="28"/>
        </w:rPr>
        <w:t>Дебіторська заборгованість по органах місцевого самоврядування станом на 01.01.2024 р. по загальному фонду та по спеціальному фонду -  відсутня.</w:t>
      </w:r>
    </w:p>
    <w:p w:rsidR="003024C6" w:rsidRPr="003024C6" w:rsidRDefault="003024C6" w:rsidP="0095027C">
      <w:pPr>
        <w:tabs>
          <w:tab w:val="left" w:pos="1701"/>
          <w:tab w:val="left" w:pos="8505"/>
        </w:tabs>
        <w:spacing w:line="240" w:lineRule="auto"/>
        <w:ind w:firstLine="709"/>
        <w:rPr>
          <w:rFonts w:ascii="Times New Roman" w:hAnsi="Times New Roman" w:cs="Times New Roman"/>
          <w:b/>
          <w:sz w:val="28"/>
          <w:szCs w:val="28"/>
          <w:u w:val="single"/>
        </w:rPr>
      </w:pPr>
      <w:r w:rsidRPr="003024C6">
        <w:rPr>
          <w:rFonts w:ascii="Times New Roman" w:hAnsi="Times New Roman" w:cs="Times New Roman"/>
          <w:color w:val="FF0000"/>
          <w:sz w:val="28"/>
          <w:szCs w:val="28"/>
        </w:rPr>
        <w:t xml:space="preserve">                               </w:t>
      </w:r>
      <w:r w:rsidRPr="003024C6">
        <w:rPr>
          <w:rFonts w:ascii="Times New Roman" w:hAnsi="Times New Roman" w:cs="Times New Roman"/>
          <w:b/>
          <w:sz w:val="28"/>
          <w:szCs w:val="28"/>
          <w:u w:val="single"/>
        </w:rPr>
        <w:t>Житлово-</w:t>
      </w:r>
      <w:r w:rsidR="0095027C" w:rsidRPr="003024C6">
        <w:rPr>
          <w:rFonts w:ascii="Times New Roman" w:hAnsi="Times New Roman" w:cs="Times New Roman"/>
          <w:b/>
          <w:sz w:val="28"/>
          <w:szCs w:val="28"/>
          <w:u w:val="single"/>
        </w:rPr>
        <w:t>комунальне господарство</w:t>
      </w:r>
    </w:p>
    <w:p w:rsidR="003024C6" w:rsidRPr="003024C6" w:rsidRDefault="0095027C"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На житлово</w:t>
      </w:r>
      <w:r w:rsidR="003024C6" w:rsidRPr="003024C6">
        <w:rPr>
          <w:rFonts w:ascii="Times New Roman" w:hAnsi="Times New Roman" w:cs="Times New Roman"/>
          <w:sz w:val="28"/>
          <w:szCs w:val="28"/>
        </w:rPr>
        <w:t>-комунальне господарство в 2023 році використано коштів по загальному фонду в сумі 21313,6 тис. грн. при плані 23194,4 тис. грн., що становить 91,9 відсотка., по спеціальному фонду — 2293,7 тис. грн. при плані 2750,5 тис. грн., що становить 83,4 відс.</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lastRenderedPageBreak/>
        <w:t xml:space="preserve">На водопровідно-каналізаційне господарство використано коштів в сумі 1148,9 тис. грн., з них по загальному фонду – 778,8 тис. грн., спеціальному — 370,1 тис. грн. </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На благоустрій населених пунктів використано коштів в сумі 17340,7 тис. грн., з них по загальному фонду – 15417,2 тис. грн., спеціальному — 1923,5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На 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4270 тис. </w:t>
      </w:r>
      <w:r w:rsidR="0095027C" w:rsidRPr="003024C6">
        <w:rPr>
          <w:rFonts w:ascii="Times New Roman" w:hAnsi="Times New Roman" w:cs="Times New Roman"/>
          <w:sz w:val="28"/>
          <w:szCs w:val="28"/>
        </w:rPr>
        <w:t>грн.,</w:t>
      </w:r>
      <w:r w:rsidRPr="003024C6">
        <w:rPr>
          <w:rFonts w:ascii="Times New Roman" w:hAnsi="Times New Roman" w:cs="Times New Roman"/>
          <w:sz w:val="28"/>
          <w:szCs w:val="28"/>
        </w:rPr>
        <w:t xml:space="preserve"> з них на різницю в тарифах по воді та водовідведенню (ДП «Рогатин-Водоканал») 3200,0 тис. грн. та вивезенню твердих побутових відходів (КП «Рогатинське будинкоуправління») -1070 тис. грн.</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На іншу діяльність у сфері житлово-комунальне господарство використано коштів по загальному фонду в сумі 847,6 тис. грн. (доплату водіям комунальних підприємств, ліквідація стихійних </w:t>
      </w:r>
      <w:r w:rsidR="0095027C" w:rsidRPr="003024C6">
        <w:rPr>
          <w:rFonts w:ascii="Times New Roman" w:hAnsi="Times New Roman" w:cs="Times New Roman"/>
          <w:sz w:val="28"/>
          <w:szCs w:val="28"/>
        </w:rPr>
        <w:t>сміттєзвалищ)</w:t>
      </w:r>
      <w:r w:rsidRPr="003024C6">
        <w:rPr>
          <w:rFonts w:ascii="Times New Roman" w:hAnsi="Times New Roman" w:cs="Times New Roman"/>
          <w:sz w:val="28"/>
          <w:szCs w:val="28"/>
        </w:rPr>
        <w:t xml:space="preserve">.       </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 xml:space="preserve"> Кредиторська заборгованість по загальному та спеціальному </w:t>
      </w:r>
      <w:r w:rsidR="0095027C" w:rsidRPr="003024C6">
        <w:rPr>
          <w:rFonts w:ascii="Times New Roman" w:hAnsi="Times New Roman" w:cs="Times New Roman"/>
          <w:sz w:val="28"/>
          <w:szCs w:val="28"/>
        </w:rPr>
        <w:t>фонду станом</w:t>
      </w:r>
      <w:r w:rsidRPr="003024C6">
        <w:rPr>
          <w:rFonts w:ascii="Times New Roman" w:hAnsi="Times New Roman" w:cs="Times New Roman"/>
          <w:sz w:val="28"/>
          <w:szCs w:val="28"/>
        </w:rPr>
        <w:t xml:space="preserve"> на 1.01.2024 </w:t>
      </w:r>
      <w:r w:rsidR="0095027C" w:rsidRPr="003024C6">
        <w:rPr>
          <w:rFonts w:ascii="Times New Roman" w:hAnsi="Times New Roman" w:cs="Times New Roman"/>
          <w:sz w:val="28"/>
          <w:szCs w:val="28"/>
        </w:rPr>
        <w:t>року відсутня.</w:t>
      </w:r>
      <w:r w:rsidRPr="003024C6">
        <w:rPr>
          <w:rFonts w:ascii="Times New Roman" w:hAnsi="Times New Roman" w:cs="Times New Roman"/>
          <w:sz w:val="28"/>
          <w:szCs w:val="28"/>
        </w:rPr>
        <w:t xml:space="preserve"> </w:t>
      </w:r>
    </w:p>
    <w:p w:rsidR="003024C6" w:rsidRPr="003024C6" w:rsidRDefault="003024C6" w:rsidP="0095027C">
      <w:pPr>
        <w:tabs>
          <w:tab w:val="left" w:pos="1701"/>
        </w:tabs>
        <w:spacing w:line="240" w:lineRule="auto"/>
        <w:ind w:firstLine="709"/>
        <w:jc w:val="both"/>
        <w:rPr>
          <w:rFonts w:ascii="Times New Roman" w:hAnsi="Times New Roman" w:cs="Times New Roman"/>
          <w:bCs/>
          <w:color w:val="FF0000"/>
          <w:sz w:val="28"/>
          <w:szCs w:val="28"/>
        </w:rPr>
      </w:pPr>
      <w:r w:rsidRPr="003024C6">
        <w:rPr>
          <w:rFonts w:ascii="Times New Roman" w:hAnsi="Times New Roman" w:cs="Times New Roman"/>
          <w:sz w:val="28"/>
          <w:szCs w:val="28"/>
        </w:rPr>
        <w:t>Дебіторська заборгованість станом на 01.01.2024 р. по загальному фонду та по спеціальному фонду -  відсутня.</w:t>
      </w:r>
      <w:r w:rsidRPr="003024C6">
        <w:rPr>
          <w:rFonts w:ascii="Times New Roman" w:hAnsi="Times New Roman" w:cs="Times New Roman"/>
          <w:bCs/>
          <w:color w:val="FF0000"/>
          <w:sz w:val="28"/>
          <w:szCs w:val="28"/>
        </w:rPr>
        <w:t xml:space="preserve">                 </w:t>
      </w:r>
    </w:p>
    <w:p w:rsidR="003024C6" w:rsidRPr="00A52306" w:rsidRDefault="003024C6" w:rsidP="0095027C">
      <w:pPr>
        <w:tabs>
          <w:tab w:val="left" w:pos="1701"/>
        </w:tabs>
        <w:spacing w:line="240" w:lineRule="auto"/>
        <w:ind w:firstLine="709"/>
        <w:jc w:val="center"/>
        <w:rPr>
          <w:rFonts w:ascii="Times New Roman" w:hAnsi="Times New Roman" w:cs="Times New Roman"/>
          <w:b/>
          <w:bCs/>
          <w:sz w:val="28"/>
          <w:szCs w:val="28"/>
          <w:u w:val="single"/>
        </w:rPr>
      </w:pPr>
      <w:r w:rsidRPr="00A52306">
        <w:rPr>
          <w:rFonts w:ascii="Times New Roman" w:hAnsi="Times New Roman" w:cs="Times New Roman"/>
          <w:b/>
          <w:bCs/>
          <w:sz w:val="28"/>
          <w:szCs w:val="28"/>
          <w:u w:val="single"/>
        </w:rPr>
        <w:t>Економічна діяльність</w:t>
      </w:r>
    </w:p>
    <w:p w:rsidR="00A52306" w:rsidRPr="003024C6" w:rsidRDefault="00A52306" w:rsidP="0095027C">
      <w:pPr>
        <w:tabs>
          <w:tab w:val="left" w:pos="1701"/>
        </w:tabs>
        <w:spacing w:line="240" w:lineRule="auto"/>
        <w:ind w:firstLine="709"/>
        <w:jc w:val="center"/>
        <w:rPr>
          <w:rFonts w:ascii="Times New Roman" w:hAnsi="Times New Roman" w:cs="Times New Roman"/>
          <w:b/>
          <w:bCs/>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84"/>
        <w:gridCol w:w="1746"/>
        <w:gridCol w:w="1383"/>
      </w:tblGrid>
      <w:tr w:rsidR="003024C6" w:rsidRPr="003024C6" w:rsidTr="00812270">
        <w:tc>
          <w:tcPr>
            <w:tcW w:w="450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Назва видатків</w:t>
            </w:r>
          </w:p>
        </w:tc>
        <w:tc>
          <w:tcPr>
            <w:tcW w:w="1984"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Загальний фонд , тис. грн.</w:t>
            </w:r>
          </w:p>
        </w:tc>
        <w:tc>
          <w:tcPr>
            <w:tcW w:w="1746"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Спеціальний фонд , тис. грн.</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Разом  тис. грн.</w:t>
            </w:r>
          </w:p>
        </w:tc>
      </w:tr>
      <w:tr w:rsidR="003024C6" w:rsidRPr="003024C6" w:rsidTr="00812270">
        <w:tc>
          <w:tcPr>
            <w:tcW w:w="450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Здійснення заходів із землеустрою</w:t>
            </w:r>
          </w:p>
        </w:tc>
        <w:tc>
          <w:tcPr>
            <w:tcW w:w="1984"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630,5</w:t>
            </w:r>
          </w:p>
        </w:tc>
        <w:tc>
          <w:tcPr>
            <w:tcW w:w="1746"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p>
        </w:tc>
        <w:tc>
          <w:tcPr>
            <w:tcW w:w="1383"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630,5</w:t>
            </w:r>
          </w:p>
        </w:tc>
      </w:tr>
      <w:tr w:rsidR="003024C6" w:rsidRPr="003024C6" w:rsidTr="00812270">
        <w:tc>
          <w:tcPr>
            <w:tcW w:w="450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Транспорт та транспортна інфраструктура, дорожнє господарство</w:t>
            </w:r>
          </w:p>
        </w:tc>
        <w:tc>
          <w:tcPr>
            <w:tcW w:w="1984"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2835,5</w:t>
            </w:r>
          </w:p>
        </w:tc>
        <w:tc>
          <w:tcPr>
            <w:tcW w:w="1746"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p>
        </w:tc>
        <w:tc>
          <w:tcPr>
            <w:tcW w:w="1383"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2835,5</w:t>
            </w:r>
          </w:p>
        </w:tc>
      </w:tr>
      <w:tr w:rsidR="003024C6" w:rsidRPr="003024C6" w:rsidTr="00812270">
        <w:tc>
          <w:tcPr>
            <w:tcW w:w="450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ab/>
            </w:r>
          </w:p>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Інші програми та заходи, пов'язані з економічною діяльністю</w:t>
            </w:r>
          </w:p>
        </w:tc>
        <w:tc>
          <w:tcPr>
            <w:tcW w:w="1984"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49,4</w:t>
            </w:r>
          </w:p>
        </w:tc>
        <w:tc>
          <w:tcPr>
            <w:tcW w:w="1746"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2450,0</w:t>
            </w:r>
          </w:p>
        </w:tc>
        <w:tc>
          <w:tcPr>
            <w:tcW w:w="1383"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4"/>
                <w:szCs w:val="24"/>
              </w:rPr>
            </w:pPr>
            <w:r w:rsidRPr="003024C6">
              <w:rPr>
                <w:rFonts w:ascii="Times New Roman" w:hAnsi="Times New Roman" w:cs="Times New Roman"/>
                <w:bCs/>
                <w:sz w:val="24"/>
                <w:szCs w:val="24"/>
              </w:rPr>
              <w:t>2499,4</w:t>
            </w:r>
          </w:p>
        </w:tc>
      </w:tr>
      <w:tr w:rsidR="003024C6" w:rsidRPr="003024C6" w:rsidTr="00812270">
        <w:tc>
          <w:tcPr>
            <w:tcW w:w="450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Всього</w:t>
            </w:r>
          </w:p>
        </w:tc>
        <w:tc>
          <w:tcPr>
            <w:tcW w:w="1984"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8"/>
                <w:szCs w:val="28"/>
              </w:rPr>
            </w:pPr>
            <w:r w:rsidRPr="003024C6">
              <w:rPr>
                <w:rFonts w:ascii="Times New Roman" w:hAnsi="Times New Roman" w:cs="Times New Roman"/>
                <w:bCs/>
                <w:sz w:val="28"/>
                <w:szCs w:val="28"/>
              </w:rPr>
              <w:t>3515,4</w:t>
            </w:r>
          </w:p>
        </w:tc>
        <w:tc>
          <w:tcPr>
            <w:tcW w:w="1746"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8"/>
                <w:szCs w:val="28"/>
              </w:rPr>
            </w:pPr>
            <w:r w:rsidRPr="003024C6">
              <w:rPr>
                <w:rFonts w:ascii="Times New Roman" w:hAnsi="Times New Roman" w:cs="Times New Roman"/>
                <w:bCs/>
                <w:sz w:val="28"/>
                <w:szCs w:val="28"/>
              </w:rPr>
              <w:t>2450,0</w:t>
            </w:r>
          </w:p>
        </w:tc>
        <w:tc>
          <w:tcPr>
            <w:tcW w:w="1383" w:type="dxa"/>
            <w:shd w:val="clear" w:color="auto" w:fill="auto"/>
          </w:tcPr>
          <w:p w:rsidR="003024C6" w:rsidRPr="003024C6" w:rsidRDefault="003024C6" w:rsidP="00812270">
            <w:pPr>
              <w:tabs>
                <w:tab w:val="left" w:pos="1701"/>
              </w:tabs>
              <w:spacing w:line="240" w:lineRule="auto"/>
              <w:jc w:val="center"/>
              <w:rPr>
                <w:rFonts w:ascii="Times New Roman" w:hAnsi="Times New Roman" w:cs="Times New Roman"/>
                <w:bCs/>
                <w:sz w:val="28"/>
                <w:szCs w:val="28"/>
              </w:rPr>
            </w:pPr>
            <w:r w:rsidRPr="003024C6">
              <w:rPr>
                <w:rFonts w:ascii="Times New Roman" w:hAnsi="Times New Roman" w:cs="Times New Roman"/>
                <w:bCs/>
                <w:sz w:val="28"/>
                <w:szCs w:val="28"/>
              </w:rPr>
              <w:t>5965,4</w:t>
            </w:r>
          </w:p>
        </w:tc>
      </w:tr>
    </w:tbl>
    <w:p w:rsidR="003024C6" w:rsidRPr="003024C6" w:rsidRDefault="003024C6" w:rsidP="00A52306">
      <w:pPr>
        <w:tabs>
          <w:tab w:val="left" w:pos="1701"/>
        </w:tabs>
        <w:spacing w:line="240" w:lineRule="auto"/>
        <w:jc w:val="both"/>
        <w:rPr>
          <w:rFonts w:ascii="Times New Roman" w:hAnsi="Times New Roman" w:cs="Times New Roman"/>
          <w:sz w:val="28"/>
        </w:rPr>
      </w:pPr>
      <w:r w:rsidRPr="003024C6">
        <w:rPr>
          <w:rFonts w:ascii="Times New Roman" w:hAnsi="Times New Roman" w:cs="Times New Roman"/>
          <w:sz w:val="28"/>
        </w:rPr>
        <w:t xml:space="preserve">     Кредиторська заборгованість по загальному та спеціальному </w:t>
      </w:r>
      <w:r w:rsidR="00A52306" w:rsidRPr="003024C6">
        <w:rPr>
          <w:rFonts w:ascii="Times New Roman" w:hAnsi="Times New Roman" w:cs="Times New Roman"/>
          <w:sz w:val="28"/>
        </w:rPr>
        <w:t>фонду станом</w:t>
      </w:r>
      <w:r w:rsidRPr="003024C6">
        <w:rPr>
          <w:rFonts w:ascii="Times New Roman" w:hAnsi="Times New Roman" w:cs="Times New Roman"/>
          <w:sz w:val="28"/>
        </w:rPr>
        <w:t xml:space="preserve"> на 1.01.2024 </w:t>
      </w:r>
      <w:r w:rsidR="00A52306" w:rsidRPr="003024C6">
        <w:rPr>
          <w:rFonts w:ascii="Times New Roman" w:hAnsi="Times New Roman" w:cs="Times New Roman"/>
          <w:sz w:val="28"/>
        </w:rPr>
        <w:t>року відсутня.</w:t>
      </w:r>
      <w:r w:rsidRPr="003024C6">
        <w:rPr>
          <w:rFonts w:ascii="Times New Roman" w:hAnsi="Times New Roman" w:cs="Times New Roman"/>
          <w:sz w:val="28"/>
        </w:rPr>
        <w:t xml:space="preserve"> </w:t>
      </w:r>
    </w:p>
    <w:p w:rsidR="003024C6" w:rsidRPr="003024C6" w:rsidRDefault="003024C6" w:rsidP="0095027C">
      <w:pPr>
        <w:tabs>
          <w:tab w:val="left" w:pos="1701"/>
        </w:tabs>
        <w:spacing w:line="240" w:lineRule="auto"/>
        <w:ind w:firstLine="709"/>
        <w:jc w:val="both"/>
        <w:rPr>
          <w:rFonts w:ascii="Times New Roman" w:hAnsi="Times New Roman" w:cs="Times New Roman"/>
          <w:sz w:val="28"/>
        </w:rPr>
      </w:pPr>
      <w:r w:rsidRPr="003024C6">
        <w:rPr>
          <w:rFonts w:ascii="Times New Roman" w:hAnsi="Times New Roman" w:cs="Times New Roman"/>
          <w:sz w:val="28"/>
        </w:rPr>
        <w:t>Дебіторська заборгованість станом на 01.01.2024 р. по загальному фонду та по спеціальному фонду -  відсутня.</w:t>
      </w:r>
    </w:p>
    <w:p w:rsidR="003024C6" w:rsidRPr="003024C6" w:rsidRDefault="003024C6" w:rsidP="0095027C">
      <w:pPr>
        <w:tabs>
          <w:tab w:val="left" w:pos="1701"/>
        </w:tabs>
        <w:spacing w:line="240" w:lineRule="auto"/>
        <w:ind w:firstLine="709"/>
        <w:jc w:val="center"/>
        <w:rPr>
          <w:rFonts w:ascii="Times New Roman" w:hAnsi="Times New Roman" w:cs="Times New Roman"/>
          <w:b/>
          <w:bCs/>
          <w:sz w:val="28"/>
          <w:szCs w:val="28"/>
          <w:u w:val="single"/>
        </w:rPr>
      </w:pPr>
      <w:r w:rsidRPr="003024C6">
        <w:rPr>
          <w:rFonts w:ascii="Times New Roman" w:hAnsi="Times New Roman" w:cs="Times New Roman"/>
          <w:b/>
          <w:bCs/>
          <w:sz w:val="28"/>
          <w:szCs w:val="28"/>
          <w:u w:val="single"/>
        </w:rPr>
        <w:t>Інша діяльність</w:t>
      </w:r>
    </w:p>
    <w:p w:rsidR="003024C6" w:rsidRPr="003024C6" w:rsidRDefault="003024C6" w:rsidP="0095027C">
      <w:pPr>
        <w:tabs>
          <w:tab w:val="left" w:pos="1701"/>
        </w:tabs>
        <w:spacing w:line="240" w:lineRule="auto"/>
        <w:ind w:firstLine="709"/>
        <w:jc w:val="center"/>
        <w:rPr>
          <w:rFonts w:ascii="Times New Roman" w:hAnsi="Times New Roman" w:cs="Times New Roman"/>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72"/>
        <w:gridCol w:w="2268"/>
        <w:gridCol w:w="1383"/>
      </w:tblGrid>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Назва видатків</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Загальний фонд , тис. грн.</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Спеціальний фонд, тис. грн.</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Разом тис. грн.</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Заходи із запобігання та ліквідації надзвичайних ситуацій та наслідків стихійного лиха</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987,5</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987,5</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Забезпечення діяльності місцевої та добровільної пожежної охорони</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603,6</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603,6</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 xml:space="preserve">Заходи та роботи з </w:t>
            </w:r>
            <w:r w:rsidRPr="003024C6">
              <w:rPr>
                <w:rFonts w:ascii="Times New Roman" w:hAnsi="Times New Roman" w:cs="Times New Roman"/>
                <w:bCs/>
                <w:sz w:val="24"/>
                <w:szCs w:val="24"/>
              </w:rPr>
              <w:lastRenderedPageBreak/>
              <w:t>мобілізаційної підготовки місцевого значення</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lastRenderedPageBreak/>
              <w:t>209,0</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23,0</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232,0</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lastRenderedPageBreak/>
              <w:t>Інші заходи громадського порядку та безпеки</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347,0</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347,0</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Заходи та роботи з територіальної оборони</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684,0</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2295,6</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2979,6</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Запобігання та ліквідація забруднення навколишнього природного середовища</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73,1</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r w:rsidRPr="003024C6">
              <w:rPr>
                <w:rFonts w:ascii="Times New Roman" w:hAnsi="Times New Roman" w:cs="Times New Roman"/>
                <w:bCs/>
                <w:sz w:val="24"/>
                <w:szCs w:val="24"/>
              </w:rPr>
              <w:t>73,1</w:t>
            </w:r>
          </w:p>
        </w:tc>
      </w:tr>
      <w:tr w:rsidR="003024C6" w:rsidRPr="003024C6" w:rsidTr="00251AE3">
        <w:tc>
          <w:tcPr>
            <w:tcW w:w="3348" w:type="dxa"/>
            <w:shd w:val="clear" w:color="auto" w:fill="auto"/>
          </w:tcPr>
          <w:p w:rsidR="003024C6" w:rsidRPr="003024C6" w:rsidRDefault="003024C6" w:rsidP="0095027C">
            <w:pPr>
              <w:spacing w:line="240" w:lineRule="auto"/>
              <w:rPr>
                <w:rFonts w:ascii="Times New Roman" w:hAnsi="Times New Roman" w:cs="Times New Roman"/>
                <w:sz w:val="24"/>
                <w:szCs w:val="24"/>
              </w:rPr>
            </w:pPr>
            <w:r w:rsidRPr="003024C6">
              <w:rPr>
                <w:rFonts w:ascii="Times New Roman" w:hAnsi="Times New Roman" w:cs="Times New Roman"/>
                <w:sz w:val="24"/>
                <w:szCs w:val="24"/>
              </w:rPr>
              <w:t>Інші заходи за рахунок коштів резервного фонду місцевого бюджету</w:t>
            </w:r>
          </w:p>
        </w:tc>
        <w:tc>
          <w:tcPr>
            <w:tcW w:w="2572" w:type="dxa"/>
            <w:shd w:val="clear" w:color="auto" w:fill="auto"/>
          </w:tcPr>
          <w:p w:rsidR="003024C6" w:rsidRPr="003024C6" w:rsidRDefault="003024C6" w:rsidP="0095027C">
            <w:pPr>
              <w:spacing w:line="240" w:lineRule="auto"/>
              <w:rPr>
                <w:rFonts w:ascii="Times New Roman" w:hAnsi="Times New Roman" w:cs="Times New Roman"/>
                <w:sz w:val="24"/>
                <w:szCs w:val="24"/>
              </w:rPr>
            </w:pPr>
            <w:r w:rsidRPr="003024C6">
              <w:rPr>
                <w:rFonts w:ascii="Times New Roman" w:hAnsi="Times New Roman" w:cs="Times New Roman"/>
                <w:sz w:val="24"/>
                <w:szCs w:val="24"/>
              </w:rPr>
              <w:t>305,5</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4"/>
                <w:szCs w:val="24"/>
              </w:rPr>
            </w:pPr>
          </w:p>
        </w:tc>
        <w:tc>
          <w:tcPr>
            <w:tcW w:w="1383" w:type="dxa"/>
            <w:shd w:val="clear" w:color="auto" w:fill="auto"/>
          </w:tcPr>
          <w:p w:rsidR="003024C6" w:rsidRPr="003024C6" w:rsidRDefault="003024C6" w:rsidP="0095027C">
            <w:pPr>
              <w:spacing w:line="240" w:lineRule="auto"/>
              <w:rPr>
                <w:rFonts w:ascii="Times New Roman" w:hAnsi="Times New Roman" w:cs="Times New Roman"/>
                <w:sz w:val="24"/>
                <w:szCs w:val="24"/>
              </w:rPr>
            </w:pPr>
            <w:r w:rsidRPr="003024C6">
              <w:rPr>
                <w:rFonts w:ascii="Times New Roman" w:hAnsi="Times New Roman" w:cs="Times New Roman"/>
                <w:sz w:val="24"/>
                <w:szCs w:val="24"/>
              </w:rPr>
              <w:t>305,5</w:t>
            </w:r>
          </w:p>
        </w:tc>
      </w:tr>
      <w:tr w:rsidR="003024C6" w:rsidRPr="003024C6" w:rsidTr="00251AE3">
        <w:tc>
          <w:tcPr>
            <w:tcW w:w="334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Всього</w:t>
            </w:r>
          </w:p>
        </w:tc>
        <w:tc>
          <w:tcPr>
            <w:tcW w:w="2572"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3136,6</w:t>
            </w:r>
          </w:p>
        </w:tc>
        <w:tc>
          <w:tcPr>
            <w:tcW w:w="2268"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2391,7</w:t>
            </w:r>
          </w:p>
        </w:tc>
        <w:tc>
          <w:tcPr>
            <w:tcW w:w="1383" w:type="dxa"/>
            <w:shd w:val="clear" w:color="auto" w:fill="auto"/>
          </w:tcPr>
          <w:p w:rsidR="003024C6" w:rsidRPr="003024C6" w:rsidRDefault="003024C6" w:rsidP="0095027C">
            <w:pPr>
              <w:tabs>
                <w:tab w:val="left" w:pos="1701"/>
              </w:tabs>
              <w:spacing w:line="240" w:lineRule="auto"/>
              <w:jc w:val="both"/>
              <w:rPr>
                <w:rFonts w:ascii="Times New Roman" w:hAnsi="Times New Roman" w:cs="Times New Roman"/>
                <w:bCs/>
                <w:sz w:val="28"/>
                <w:szCs w:val="28"/>
              </w:rPr>
            </w:pPr>
            <w:r w:rsidRPr="003024C6">
              <w:rPr>
                <w:rFonts w:ascii="Times New Roman" w:hAnsi="Times New Roman" w:cs="Times New Roman"/>
                <w:bCs/>
                <w:sz w:val="28"/>
                <w:szCs w:val="28"/>
              </w:rPr>
              <w:t>5528,3</w:t>
            </w:r>
          </w:p>
        </w:tc>
      </w:tr>
    </w:tbl>
    <w:p w:rsidR="003024C6" w:rsidRPr="003024C6" w:rsidRDefault="003024C6" w:rsidP="0095027C">
      <w:pPr>
        <w:tabs>
          <w:tab w:val="left" w:pos="1701"/>
        </w:tabs>
        <w:spacing w:line="240" w:lineRule="auto"/>
        <w:ind w:firstLine="709"/>
        <w:jc w:val="both"/>
        <w:rPr>
          <w:rFonts w:ascii="Times New Roman" w:hAnsi="Times New Roman" w:cs="Times New Roman"/>
          <w:bCs/>
          <w:sz w:val="28"/>
          <w:szCs w:val="28"/>
        </w:rPr>
      </w:pPr>
    </w:p>
    <w:p w:rsidR="003024C6" w:rsidRPr="003024C6" w:rsidRDefault="003024C6" w:rsidP="0095027C">
      <w:pPr>
        <w:tabs>
          <w:tab w:val="left" w:pos="1701"/>
        </w:tabs>
        <w:spacing w:line="240" w:lineRule="auto"/>
        <w:ind w:firstLine="709"/>
        <w:jc w:val="both"/>
        <w:rPr>
          <w:rFonts w:ascii="Times New Roman" w:hAnsi="Times New Roman" w:cs="Times New Roman"/>
          <w:bCs/>
          <w:sz w:val="28"/>
          <w:szCs w:val="28"/>
        </w:rPr>
      </w:pPr>
      <w:r w:rsidRPr="003024C6">
        <w:rPr>
          <w:rFonts w:ascii="Times New Roman" w:hAnsi="Times New Roman" w:cs="Times New Roman"/>
          <w:bCs/>
          <w:sz w:val="28"/>
          <w:szCs w:val="28"/>
        </w:rPr>
        <w:t xml:space="preserve">Кредиторська заборгованість по загальному та спеціальному </w:t>
      </w:r>
      <w:r w:rsidR="00812270" w:rsidRPr="003024C6">
        <w:rPr>
          <w:rFonts w:ascii="Times New Roman" w:hAnsi="Times New Roman" w:cs="Times New Roman"/>
          <w:bCs/>
          <w:sz w:val="28"/>
          <w:szCs w:val="28"/>
        </w:rPr>
        <w:t>фонду станом</w:t>
      </w:r>
      <w:r w:rsidRPr="003024C6">
        <w:rPr>
          <w:rFonts w:ascii="Times New Roman" w:hAnsi="Times New Roman" w:cs="Times New Roman"/>
          <w:bCs/>
          <w:sz w:val="28"/>
          <w:szCs w:val="28"/>
        </w:rPr>
        <w:t xml:space="preserve"> на 1.01.2024 року - </w:t>
      </w:r>
      <w:r w:rsidR="00812270" w:rsidRPr="003024C6">
        <w:rPr>
          <w:rFonts w:ascii="Times New Roman" w:hAnsi="Times New Roman" w:cs="Times New Roman"/>
          <w:bCs/>
          <w:sz w:val="28"/>
          <w:szCs w:val="28"/>
        </w:rPr>
        <w:t>відсутня.</w:t>
      </w:r>
      <w:r w:rsidRPr="003024C6">
        <w:rPr>
          <w:rFonts w:ascii="Times New Roman" w:hAnsi="Times New Roman" w:cs="Times New Roman"/>
          <w:bCs/>
          <w:sz w:val="28"/>
          <w:szCs w:val="28"/>
        </w:rPr>
        <w:t xml:space="preserve"> </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bCs/>
          <w:sz w:val="28"/>
          <w:szCs w:val="28"/>
        </w:rPr>
        <w:t>Дебіторська заборгованість станом на 01.01.2024 р. по загальному фонду –відсутня.</w:t>
      </w:r>
    </w:p>
    <w:p w:rsidR="003024C6" w:rsidRPr="00812270" w:rsidRDefault="003024C6" w:rsidP="00A52306">
      <w:pPr>
        <w:keepNext/>
        <w:tabs>
          <w:tab w:val="left" w:pos="1701"/>
        </w:tabs>
        <w:spacing w:line="240" w:lineRule="auto"/>
        <w:jc w:val="center"/>
        <w:outlineLvl w:val="0"/>
        <w:rPr>
          <w:rFonts w:ascii="Times New Roman" w:hAnsi="Times New Roman" w:cs="Times New Roman"/>
          <w:i/>
        </w:rPr>
      </w:pPr>
      <w:r w:rsidRPr="00812270">
        <w:rPr>
          <w:rFonts w:ascii="Times New Roman" w:hAnsi="Times New Roman" w:cs="Times New Roman"/>
          <w:b/>
          <w:bCs/>
          <w:i/>
          <w:caps/>
          <w:sz w:val="28"/>
        </w:rPr>
        <w:t>Фінансування</w:t>
      </w:r>
    </w:p>
    <w:p w:rsidR="003024C6" w:rsidRPr="003024C6" w:rsidRDefault="003024C6" w:rsidP="0095027C">
      <w:pPr>
        <w:tabs>
          <w:tab w:val="left" w:pos="1701"/>
        </w:tabs>
        <w:spacing w:line="240" w:lineRule="auto"/>
        <w:ind w:firstLine="709"/>
        <w:jc w:val="both"/>
        <w:rPr>
          <w:rFonts w:ascii="Times New Roman" w:hAnsi="Times New Roman" w:cs="Times New Roman"/>
          <w:sz w:val="28"/>
          <w:szCs w:val="28"/>
        </w:rPr>
      </w:pPr>
      <w:r w:rsidRPr="003024C6">
        <w:rPr>
          <w:rFonts w:ascii="Times New Roman" w:hAnsi="Times New Roman" w:cs="Times New Roman"/>
          <w:sz w:val="28"/>
          <w:szCs w:val="28"/>
        </w:rPr>
        <w:t>Протягом 2023 року направлено вільних залишків коштів по загальному фонду в сумі 17077,</w:t>
      </w:r>
      <w:r w:rsidR="00A52306" w:rsidRPr="003024C6">
        <w:rPr>
          <w:rFonts w:ascii="Times New Roman" w:hAnsi="Times New Roman" w:cs="Times New Roman"/>
          <w:sz w:val="28"/>
          <w:szCs w:val="28"/>
        </w:rPr>
        <w:t>5 тис</w:t>
      </w:r>
      <w:r w:rsidRPr="003024C6">
        <w:rPr>
          <w:rFonts w:ascii="Times New Roman" w:hAnsi="Times New Roman" w:cs="Times New Roman"/>
          <w:sz w:val="28"/>
          <w:szCs w:val="28"/>
        </w:rPr>
        <w:t>. грн.</w:t>
      </w:r>
      <w:r w:rsidRPr="003024C6">
        <w:rPr>
          <w:rFonts w:ascii="Times New Roman" w:hAnsi="Times New Roman" w:cs="Times New Roman"/>
          <w:sz w:val="28"/>
          <w:szCs w:val="28"/>
        </w:rPr>
        <w:tab/>
        <w:t>:</w:t>
      </w:r>
    </w:p>
    <w:p w:rsidR="003024C6" w:rsidRPr="003024C6" w:rsidRDefault="003024C6" w:rsidP="0095027C">
      <w:pPr>
        <w:tabs>
          <w:tab w:val="left" w:pos="1276"/>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 оплата праці працівників бюджетних установ з нарахуваннями - 4151,9 тис. грн. (24,3 відсотка від загального обсягу спрямованих коштів);</w:t>
      </w:r>
    </w:p>
    <w:p w:rsidR="003024C6" w:rsidRPr="003024C6" w:rsidRDefault="003024C6" w:rsidP="0095027C">
      <w:pPr>
        <w:tabs>
          <w:tab w:val="left" w:pos="1276"/>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 капітальні видатки -1935,5 тис. грн. (11,3 відсотка);</w:t>
      </w:r>
    </w:p>
    <w:p w:rsidR="003024C6" w:rsidRPr="003024C6" w:rsidRDefault="003024C6" w:rsidP="0095027C">
      <w:pPr>
        <w:tabs>
          <w:tab w:val="left" w:pos="1276"/>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 на виконання заходів пов'язаних із збройною агресією - 300,0 тис. грн. (1,8 відсотка)</w:t>
      </w:r>
    </w:p>
    <w:p w:rsidR="003024C6" w:rsidRPr="003024C6" w:rsidRDefault="003024C6" w:rsidP="0095027C">
      <w:pPr>
        <w:tabs>
          <w:tab w:val="left" w:pos="1276"/>
        </w:tabs>
        <w:spacing w:line="240" w:lineRule="auto"/>
        <w:jc w:val="both"/>
        <w:rPr>
          <w:rFonts w:ascii="Times New Roman" w:hAnsi="Times New Roman" w:cs="Times New Roman"/>
          <w:sz w:val="28"/>
          <w:szCs w:val="28"/>
        </w:rPr>
      </w:pPr>
      <w:r w:rsidRPr="003024C6">
        <w:rPr>
          <w:rFonts w:ascii="Times New Roman" w:hAnsi="Times New Roman" w:cs="Times New Roman"/>
          <w:sz w:val="28"/>
          <w:szCs w:val="28"/>
        </w:rPr>
        <w:t xml:space="preserve">     - інші видатки - 10690,1 тис. грн. (62,6 відсотка);</w:t>
      </w:r>
    </w:p>
    <w:p w:rsidR="003024C6" w:rsidRPr="003024C6" w:rsidRDefault="003024C6" w:rsidP="00A52306">
      <w:pPr>
        <w:tabs>
          <w:tab w:val="left" w:pos="1276"/>
        </w:tabs>
        <w:spacing w:line="240" w:lineRule="auto"/>
        <w:jc w:val="both"/>
        <w:rPr>
          <w:rFonts w:ascii="Times New Roman" w:hAnsi="Times New Roman" w:cs="Times New Roman"/>
          <w:b/>
          <w:bCs/>
          <w:color w:val="FF0000"/>
          <w:sz w:val="36"/>
          <w:szCs w:val="36"/>
        </w:rPr>
      </w:pPr>
      <w:r w:rsidRPr="003024C6">
        <w:rPr>
          <w:rFonts w:ascii="Times New Roman" w:hAnsi="Times New Roman" w:cs="Times New Roman"/>
          <w:sz w:val="28"/>
          <w:szCs w:val="28"/>
        </w:rPr>
        <w:t xml:space="preserve">           Залишок коштів по субвенції з державного бюджету місцевим бюджетам на здійснення заходів щодо соціально-економічного розвитку окремих територій повернуто </w:t>
      </w:r>
      <w:r w:rsidR="00A52306" w:rsidRPr="003024C6">
        <w:rPr>
          <w:rFonts w:ascii="Times New Roman" w:hAnsi="Times New Roman" w:cs="Times New Roman"/>
          <w:sz w:val="28"/>
          <w:szCs w:val="28"/>
        </w:rPr>
        <w:t>до державного бюджета</w:t>
      </w:r>
      <w:r w:rsidRPr="003024C6">
        <w:rPr>
          <w:rFonts w:ascii="Times New Roman" w:hAnsi="Times New Roman" w:cs="Times New Roman"/>
          <w:sz w:val="28"/>
          <w:szCs w:val="28"/>
        </w:rPr>
        <w:t xml:space="preserve"> 412,2</w:t>
      </w:r>
      <w:r w:rsidRPr="003024C6">
        <w:rPr>
          <w:rFonts w:ascii="Times New Roman" w:hAnsi="Times New Roman" w:cs="Times New Roman"/>
        </w:rPr>
        <w:t xml:space="preserve"> </w:t>
      </w:r>
      <w:r w:rsidRPr="003024C6">
        <w:rPr>
          <w:rFonts w:ascii="Times New Roman" w:hAnsi="Times New Roman" w:cs="Times New Roman"/>
          <w:sz w:val="28"/>
          <w:szCs w:val="28"/>
        </w:rPr>
        <w:t>тис. грн. (100 відсотків)</w:t>
      </w:r>
      <w:r w:rsidR="00A52306">
        <w:rPr>
          <w:rFonts w:ascii="Times New Roman" w:hAnsi="Times New Roman" w:cs="Times New Roman"/>
          <w:sz w:val="28"/>
          <w:szCs w:val="28"/>
          <w:lang w:val="uk-UA"/>
        </w:rPr>
        <w:t>.</w:t>
      </w:r>
    </w:p>
    <w:p w:rsidR="003024C6" w:rsidRPr="00812270" w:rsidRDefault="003024C6" w:rsidP="00A52306">
      <w:pPr>
        <w:tabs>
          <w:tab w:val="left" w:pos="1701"/>
        </w:tabs>
        <w:spacing w:line="240" w:lineRule="auto"/>
        <w:jc w:val="center"/>
        <w:rPr>
          <w:rFonts w:ascii="Times New Roman" w:hAnsi="Times New Roman" w:cs="Times New Roman"/>
          <w:b/>
          <w:i/>
          <w:caps/>
          <w:sz w:val="28"/>
          <w:szCs w:val="28"/>
        </w:rPr>
      </w:pPr>
      <w:r w:rsidRPr="00812270">
        <w:rPr>
          <w:rFonts w:ascii="Times New Roman" w:hAnsi="Times New Roman" w:cs="Times New Roman"/>
          <w:b/>
          <w:i/>
          <w:caps/>
          <w:sz w:val="28"/>
          <w:szCs w:val="28"/>
        </w:rPr>
        <w:t>Кредитування</w:t>
      </w:r>
    </w:p>
    <w:p w:rsidR="00A52306" w:rsidRDefault="003024C6" w:rsidP="00A52306">
      <w:pPr>
        <w:tabs>
          <w:tab w:val="left" w:pos="1701"/>
        </w:tabs>
        <w:spacing w:line="240" w:lineRule="auto"/>
        <w:ind w:firstLine="709"/>
        <w:jc w:val="both"/>
        <w:rPr>
          <w:rFonts w:ascii="Times New Roman" w:hAnsi="Times New Roman" w:cs="Times New Roman"/>
        </w:rPr>
      </w:pPr>
      <w:r w:rsidRPr="003024C6">
        <w:rPr>
          <w:rFonts w:ascii="Times New Roman" w:hAnsi="Times New Roman" w:cs="Times New Roman"/>
          <w:sz w:val="28"/>
          <w:szCs w:val="28"/>
        </w:rPr>
        <w:t xml:space="preserve">На надання кредитів індивідуальним сільським </w:t>
      </w:r>
      <w:r w:rsidR="00A52306" w:rsidRPr="003024C6">
        <w:rPr>
          <w:rFonts w:ascii="Times New Roman" w:hAnsi="Times New Roman" w:cs="Times New Roman"/>
          <w:sz w:val="28"/>
          <w:szCs w:val="28"/>
        </w:rPr>
        <w:t>забудовникам протягом</w:t>
      </w:r>
      <w:r w:rsidRPr="003024C6">
        <w:rPr>
          <w:rFonts w:ascii="Times New Roman" w:hAnsi="Times New Roman" w:cs="Times New Roman"/>
          <w:sz w:val="28"/>
          <w:szCs w:val="28"/>
        </w:rPr>
        <w:t xml:space="preserve"> 2023 року кошти не виділялися. </w:t>
      </w:r>
      <w:r w:rsidRPr="003024C6">
        <w:rPr>
          <w:rFonts w:ascii="Times New Roman" w:hAnsi="Times New Roman" w:cs="Times New Roman"/>
        </w:rPr>
        <w:t xml:space="preserve">        </w:t>
      </w:r>
    </w:p>
    <w:p w:rsidR="003024C6" w:rsidRPr="00812270" w:rsidRDefault="003024C6" w:rsidP="00A52306">
      <w:pPr>
        <w:tabs>
          <w:tab w:val="left" w:pos="1701"/>
        </w:tabs>
        <w:spacing w:line="240" w:lineRule="auto"/>
        <w:ind w:firstLine="709"/>
        <w:jc w:val="center"/>
        <w:rPr>
          <w:rFonts w:ascii="Times New Roman" w:hAnsi="Times New Roman" w:cs="Times New Roman"/>
          <w:i/>
          <w:sz w:val="28"/>
          <w:szCs w:val="28"/>
        </w:rPr>
      </w:pPr>
      <w:r w:rsidRPr="00812270">
        <w:rPr>
          <w:rFonts w:ascii="Times New Roman" w:hAnsi="Times New Roman" w:cs="Times New Roman"/>
          <w:b/>
          <w:bCs/>
          <w:i/>
          <w:caps/>
          <w:sz w:val="28"/>
          <w:szCs w:val="28"/>
        </w:rPr>
        <w:t>Міжбюджетні трансферти</w:t>
      </w:r>
    </w:p>
    <w:p w:rsidR="003024C6" w:rsidRPr="00A52306" w:rsidRDefault="003024C6" w:rsidP="0095027C">
      <w:pPr>
        <w:tabs>
          <w:tab w:val="left" w:pos="1701"/>
        </w:tabs>
        <w:spacing w:line="240" w:lineRule="auto"/>
        <w:ind w:firstLine="709"/>
        <w:jc w:val="center"/>
        <w:rPr>
          <w:rFonts w:ascii="Times New Roman" w:hAnsi="Times New Roman" w:cs="Times New Roman"/>
          <w:sz w:val="28"/>
          <w:szCs w:val="28"/>
          <w:lang w:val="uk-UA"/>
        </w:rPr>
      </w:pPr>
      <w:r w:rsidRPr="00A52306">
        <w:rPr>
          <w:rFonts w:ascii="Times New Roman" w:hAnsi="Times New Roman" w:cs="Times New Roman"/>
          <w:sz w:val="28"/>
          <w:szCs w:val="28"/>
          <w:lang w:bidi="he-IL"/>
        </w:rPr>
        <w:t xml:space="preserve">Розшифровка суми міжбюджетних трансфертів, які передаються між місцевими бюджетами різних рівнів або між бюджетами однієї </w:t>
      </w:r>
      <w:r w:rsidR="00A52306" w:rsidRPr="00A52306">
        <w:rPr>
          <w:rFonts w:ascii="Times New Roman" w:hAnsi="Times New Roman" w:cs="Times New Roman"/>
          <w:sz w:val="28"/>
          <w:szCs w:val="28"/>
          <w:lang w:bidi="he-IL"/>
        </w:rPr>
        <w:t>підпорядкованості за</w:t>
      </w:r>
      <w:r w:rsidRPr="00A52306">
        <w:rPr>
          <w:rFonts w:ascii="Times New Roman" w:hAnsi="Times New Roman" w:cs="Times New Roman"/>
          <w:sz w:val="28"/>
          <w:szCs w:val="28"/>
          <w:lang w:bidi="he-IL"/>
        </w:rPr>
        <w:t xml:space="preserve"> 2023 р</w:t>
      </w:r>
      <w:r w:rsidR="00A52306" w:rsidRPr="00A52306">
        <w:rPr>
          <w:rFonts w:ascii="Times New Roman" w:hAnsi="Times New Roman" w:cs="Times New Roman"/>
          <w:sz w:val="28"/>
          <w:szCs w:val="28"/>
          <w:lang w:val="uk-UA" w:bidi="he-IL"/>
        </w:rPr>
        <w:t>.</w:t>
      </w:r>
    </w:p>
    <w:tbl>
      <w:tblPr>
        <w:tblW w:w="15932" w:type="dxa"/>
        <w:tblInd w:w="-176" w:type="dxa"/>
        <w:tblLook w:val="04A0" w:firstRow="1" w:lastRow="0" w:firstColumn="1" w:lastColumn="0" w:noHBand="0" w:noVBand="1"/>
      </w:tblPr>
      <w:tblGrid>
        <w:gridCol w:w="16364"/>
        <w:gridCol w:w="276"/>
        <w:gridCol w:w="276"/>
        <w:gridCol w:w="276"/>
      </w:tblGrid>
      <w:tr w:rsidR="003024C6" w:rsidRPr="003024C6" w:rsidTr="00251AE3">
        <w:trPr>
          <w:trHeight w:val="390"/>
        </w:trPr>
        <w:tc>
          <w:tcPr>
            <w:tcW w:w="10316" w:type="dxa"/>
            <w:tcBorders>
              <w:top w:val="nil"/>
              <w:left w:val="nil"/>
              <w:bottom w:val="nil"/>
              <w:right w:val="nil"/>
            </w:tcBorders>
            <w:shd w:val="clear" w:color="000000" w:fill="FFFFFF"/>
            <w:vAlign w:val="bottom"/>
          </w:tcPr>
          <w:tbl>
            <w:tblPr>
              <w:tblW w:w="16148" w:type="dxa"/>
              <w:tblLook w:val="04A0" w:firstRow="1" w:lastRow="0" w:firstColumn="1" w:lastColumn="0" w:noHBand="0" w:noVBand="1"/>
            </w:tblPr>
            <w:tblGrid>
              <w:gridCol w:w="16148"/>
            </w:tblGrid>
            <w:tr w:rsidR="003024C6" w:rsidRPr="003024C6" w:rsidTr="00251AE3">
              <w:trPr>
                <w:trHeight w:val="390"/>
              </w:trPr>
              <w:tc>
                <w:tcPr>
                  <w:tcW w:w="16148" w:type="dxa"/>
                  <w:tcBorders>
                    <w:top w:val="nil"/>
                    <w:left w:val="nil"/>
                    <w:bottom w:val="nil"/>
                    <w:right w:val="nil"/>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bl>
                  <w:tblPr>
                    <w:tblW w:w="13058" w:type="dxa"/>
                    <w:tblLook w:val="04A0" w:firstRow="1" w:lastRow="0" w:firstColumn="1" w:lastColumn="0" w:noHBand="0" w:noVBand="1"/>
                  </w:tblPr>
                  <w:tblGrid>
                    <w:gridCol w:w="10296"/>
                    <w:gridCol w:w="1125"/>
                    <w:gridCol w:w="1637"/>
                  </w:tblGrid>
                  <w:tr w:rsidR="00A52306" w:rsidRPr="003024C6" w:rsidTr="00A52306">
                    <w:trPr>
                      <w:trHeight w:val="390"/>
                    </w:trPr>
                    <w:tc>
                      <w:tcPr>
                        <w:tcW w:w="10296" w:type="dxa"/>
                        <w:tcBorders>
                          <w:top w:val="nil"/>
                          <w:left w:val="nil"/>
                          <w:bottom w:val="nil"/>
                          <w:right w:val="nil"/>
                        </w:tcBorders>
                        <w:shd w:val="clear" w:color="000000" w:fill="FFFFFF"/>
                        <w:vAlign w:val="bottom"/>
                      </w:tcPr>
                      <w:tbl>
                        <w:tblPr>
                          <w:tblW w:w="10035" w:type="dxa"/>
                          <w:tblLook w:val="04A0" w:firstRow="1" w:lastRow="0" w:firstColumn="1" w:lastColumn="0" w:noHBand="0" w:noVBand="1"/>
                        </w:tblPr>
                        <w:tblGrid>
                          <w:gridCol w:w="4250"/>
                          <w:gridCol w:w="1366"/>
                          <w:gridCol w:w="1379"/>
                          <w:gridCol w:w="1544"/>
                          <w:gridCol w:w="1496"/>
                        </w:tblGrid>
                        <w:tr w:rsidR="00A52306" w:rsidRPr="003024C6" w:rsidTr="00A52306">
                          <w:trPr>
                            <w:trHeight w:val="675"/>
                          </w:trPr>
                          <w:tc>
                            <w:tcPr>
                              <w:tcW w:w="4250" w:type="dxa"/>
                              <w:tcBorders>
                                <w:top w:val="single" w:sz="4" w:space="0" w:color="auto"/>
                                <w:left w:val="single" w:sz="4" w:space="0" w:color="auto"/>
                                <w:bottom w:val="single" w:sz="4" w:space="0" w:color="auto"/>
                                <w:right w:val="single" w:sz="4" w:space="0" w:color="auto"/>
                              </w:tcBorders>
                              <w:shd w:val="clear" w:color="000000" w:fill="FFFFFF"/>
                              <w:vAlign w:val="center"/>
                            </w:tcPr>
                            <w:p w:rsidR="00A52306" w:rsidRPr="003024C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Найменування об’єктів фінансування</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A52306" w:rsidRDefault="00A52306" w:rsidP="0095027C">
                              <w:pPr>
                                <w:spacing w:line="240" w:lineRule="auto"/>
                                <w:jc w:val="center"/>
                                <w:rPr>
                                  <w:rFonts w:ascii="Times New Roman" w:hAnsi="Times New Roman" w:cs="Times New Roman"/>
                                  <w:b/>
                                  <w:bCs/>
                                  <w:sz w:val="24"/>
                                  <w:szCs w:val="24"/>
                                  <w:lang w:val="uk-UA" w:eastAsia="uk-UA"/>
                                </w:rPr>
                              </w:pPr>
                              <w:r w:rsidRPr="003024C6">
                                <w:rPr>
                                  <w:rFonts w:ascii="Times New Roman" w:hAnsi="Times New Roman" w:cs="Times New Roman"/>
                                  <w:b/>
                                  <w:bCs/>
                                  <w:sz w:val="24"/>
                                  <w:szCs w:val="24"/>
                                  <w:lang w:eastAsia="uk-UA"/>
                                </w:rPr>
                                <w:t>Профінан</w:t>
                              </w:r>
                              <w:r>
                                <w:rPr>
                                  <w:rFonts w:ascii="Times New Roman" w:hAnsi="Times New Roman" w:cs="Times New Roman"/>
                                  <w:b/>
                                  <w:bCs/>
                                  <w:sz w:val="24"/>
                                  <w:szCs w:val="24"/>
                                  <w:lang w:val="uk-UA" w:eastAsia="uk-UA"/>
                                </w:rPr>
                                <w:t>-</w:t>
                              </w:r>
                            </w:p>
                            <w:p w:rsidR="00A52306" w:rsidRPr="003024C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xml:space="preserve">совано </w:t>
                              </w:r>
                            </w:p>
                          </w:tc>
                          <w:tc>
                            <w:tcPr>
                              <w:tcW w:w="1379" w:type="dxa"/>
                              <w:tcBorders>
                                <w:top w:val="single" w:sz="4" w:space="0" w:color="auto"/>
                                <w:left w:val="nil"/>
                                <w:bottom w:val="single" w:sz="4" w:space="0" w:color="auto"/>
                                <w:right w:val="single" w:sz="4" w:space="0" w:color="auto"/>
                              </w:tcBorders>
                              <w:shd w:val="clear" w:color="000000" w:fill="FFFFFF"/>
                              <w:vAlign w:val="center"/>
                            </w:tcPr>
                            <w:p w:rsidR="00A5230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xml:space="preserve">Проведено касові </w:t>
                              </w:r>
                            </w:p>
                            <w:p w:rsidR="00A52306" w:rsidRPr="003024C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видатки</w:t>
                              </w:r>
                            </w:p>
                          </w:tc>
                          <w:tc>
                            <w:tcPr>
                              <w:tcW w:w="1544" w:type="dxa"/>
                              <w:tcBorders>
                                <w:top w:val="single" w:sz="4" w:space="0" w:color="auto"/>
                                <w:left w:val="nil"/>
                                <w:bottom w:val="single" w:sz="4" w:space="0" w:color="auto"/>
                                <w:right w:val="single" w:sz="4" w:space="0" w:color="auto"/>
                              </w:tcBorders>
                              <w:shd w:val="clear" w:color="000000" w:fill="FFFFFF"/>
                              <w:vAlign w:val="center"/>
                            </w:tcPr>
                            <w:p w:rsidR="00A52306" w:rsidRDefault="00A52306" w:rsidP="0095027C">
                              <w:pPr>
                                <w:spacing w:line="240" w:lineRule="auto"/>
                                <w:jc w:val="center"/>
                                <w:rPr>
                                  <w:rFonts w:ascii="Times New Roman" w:hAnsi="Times New Roman" w:cs="Times New Roman"/>
                                  <w:b/>
                                  <w:bCs/>
                                  <w:sz w:val="24"/>
                                  <w:szCs w:val="24"/>
                                  <w:lang w:val="uk-UA" w:eastAsia="uk-UA"/>
                                </w:rPr>
                              </w:pPr>
                              <w:r w:rsidRPr="003024C6">
                                <w:rPr>
                                  <w:rFonts w:ascii="Times New Roman" w:hAnsi="Times New Roman" w:cs="Times New Roman"/>
                                  <w:b/>
                                  <w:bCs/>
                                  <w:sz w:val="24"/>
                                  <w:szCs w:val="24"/>
                                  <w:lang w:eastAsia="uk-UA"/>
                                </w:rPr>
                                <w:t>Повернення невикорис</w:t>
                              </w:r>
                              <w:r>
                                <w:rPr>
                                  <w:rFonts w:ascii="Times New Roman" w:hAnsi="Times New Roman" w:cs="Times New Roman"/>
                                  <w:b/>
                                  <w:bCs/>
                                  <w:sz w:val="24"/>
                                  <w:szCs w:val="24"/>
                                  <w:lang w:val="uk-UA" w:eastAsia="uk-UA"/>
                                </w:rPr>
                                <w:t>-</w:t>
                              </w:r>
                            </w:p>
                            <w:p w:rsidR="00A52306" w:rsidRDefault="00A52306" w:rsidP="0095027C">
                              <w:pPr>
                                <w:spacing w:line="240" w:lineRule="auto"/>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т</w:t>
                              </w:r>
                              <w:r w:rsidRPr="003024C6">
                                <w:rPr>
                                  <w:rFonts w:ascii="Times New Roman" w:hAnsi="Times New Roman" w:cs="Times New Roman"/>
                                  <w:b/>
                                  <w:bCs/>
                                  <w:sz w:val="24"/>
                                  <w:szCs w:val="24"/>
                                  <w:lang w:eastAsia="uk-UA"/>
                                </w:rPr>
                                <w:t>аних</w:t>
                              </w:r>
                            </w:p>
                            <w:p w:rsidR="00A52306" w:rsidRPr="003024C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xml:space="preserve"> коштів</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A52306" w:rsidRPr="003024C6" w:rsidRDefault="00A5230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Причини повернення коштів</w:t>
                              </w:r>
                            </w:p>
                          </w:tc>
                        </w:tr>
                        <w:tr w:rsidR="00A52306" w:rsidRPr="003024C6" w:rsidTr="00A52306">
                          <w:trPr>
                            <w:trHeight w:val="45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sz w:val="24"/>
                                  <w:szCs w:val="24"/>
                                  <w:lang w:eastAsia="uk-UA"/>
                                </w:rPr>
                              </w:pPr>
                              <w:r w:rsidRPr="003024C6">
                                <w:rPr>
                                  <w:rFonts w:ascii="Times New Roman" w:hAnsi="Times New Roman" w:cs="Times New Roman"/>
                                  <w:b/>
                                  <w:sz w:val="24"/>
                                  <w:szCs w:val="24"/>
                                  <w:lang w:eastAsia="uk-UA"/>
                                </w:rPr>
                                <w:t>Обласний бюджет (41053900)</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sz w:val="24"/>
                                  <w:szCs w:val="24"/>
                                  <w:lang w:val="en-GB" w:eastAsia="uk-UA"/>
                                </w:rPr>
                              </w:pP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sz w:val="24"/>
                                  <w:szCs w:val="24"/>
                                  <w:lang w:val="en-GB" w:eastAsia="uk-UA"/>
                                </w:rPr>
                              </w:pP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p>
                          </w:tc>
                        </w:tr>
                        <w:tr w:rsidR="00A52306" w:rsidRPr="003024C6" w:rsidTr="00A52306">
                          <w:trPr>
                            <w:trHeight w:val="45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Додаткові виплати ветеранам ОУН-УПА</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114000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114000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r w:rsidR="00A52306" w:rsidRPr="003024C6" w:rsidTr="00A52306">
                          <w:trPr>
                            <w:trHeight w:val="675"/>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Пільги на медичне обслуговування громадянам, які постраждали внаслідок Чорнобильської катастрофи</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31900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31900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sz w:val="24"/>
                                  <w:szCs w:val="24"/>
                                  <w:lang w:val="en-GB"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p>
                          </w:tc>
                        </w:tr>
                        <w:tr w:rsidR="00A52306" w:rsidRPr="003024C6" w:rsidTr="00A52306">
                          <w:trPr>
                            <w:trHeight w:val="450"/>
                          </w:trPr>
                          <w:tc>
                            <w:tcPr>
                              <w:tcW w:w="4250" w:type="dxa"/>
                              <w:tcBorders>
                                <w:top w:val="nil"/>
                                <w:left w:val="single" w:sz="4" w:space="0" w:color="auto"/>
                                <w:bottom w:val="single" w:sz="4" w:space="0" w:color="auto"/>
                                <w:right w:val="nil"/>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lastRenderedPageBreak/>
                                <w:t xml:space="preserve">Фінансування програми розвитку місцевого самоврядування </w:t>
                              </w:r>
                            </w:p>
                          </w:tc>
                          <w:tc>
                            <w:tcPr>
                              <w:tcW w:w="1366"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1244400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1244400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r w:rsidR="00A52306" w:rsidRPr="003024C6" w:rsidTr="00A52306">
                          <w:trPr>
                            <w:trHeight w:val="255"/>
                          </w:trPr>
                          <w:tc>
                            <w:tcPr>
                              <w:tcW w:w="4250" w:type="dxa"/>
                              <w:tcBorders>
                                <w:top w:val="nil"/>
                                <w:left w:val="single" w:sz="4" w:space="0" w:color="auto"/>
                                <w:bottom w:val="single" w:sz="4" w:space="0" w:color="auto"/>
                                <w:right w:val="nil"/>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в тому числі :</w:t>
                              </w:r>
                            </w:p>
                          </w:tc>
                          <w:tc>
                            <w:tcPr>
                              <w:tcW w:w="1366"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sz w:val="24"/>
                                  <w:szCs w:val="24"/>
                                  <w:lang w:eastAsia="uk-UA"/>
                                </w:rPr>
                              </w:pP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r w:rsidR="00A52306" w:rsidRPr="003024C6" w:rsidTr="00812270">
                          <w:trPr>
                            <w:trHeight w:val="204"/>
                          </w:trPr>
                          <w:tc>
                            <w:tcPr>
                              <w:tcW w:w="4250" w:type="dxa"/>
                              <w:tcBorders>
                                <w:top w:val="nil"/>
                                <w:left w:val="single" w:sz="4" w:space="0" w:color="auto"/>
                                <w:bottom w:val="single" w:sz="4" w:space="0" w:color="auto"/>
                                <w:right w:val="single" w:sz="4" w:space="0" w:color="auto"/>
                              </w:tcBorders>
                              <w:shd w:val="clear" w:color="auto" w:fill="auto"/>
                              <w:vAlign w:val="center"/>
                            </w:tcPr>
                            <w:p w:rsidR="00A52306" w:rsidRPr="003024C6" w:rsidRDefault="00A52306" w:rsidP="0095027C">
                              <w:pPr>
                                <w:spacing w:line="240" w:lineRule="auto"/>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-Контейнери</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6230000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6230000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center"/>
                                <w:rPr>
                                  <w:rFonts w:ascii="Times New Roman" w:hAnsi="Times New Roman" w:cs="Times New Roman"/>
                                  <w:i/>
                                  <w:i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p>
                          </w:tc>
                        </w:tr>
                        <w:tr w:rsidR="00A52306" w:rsidRPr="003024C6" w:rsidTr="00A52306">
                          <w:trPr>
                            <w:trHeight w:val="54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color w:val="000000"/>
                                  <w:sz w:val="24"/>
                                  <w:szCs w:val="24"/>
                                </w:rPr>
                              </w:pPr>
                              <w:r w:rsidRPr="003024C6">
                                <w:rPr>
                                  <w:rFonts w:ascii="Times New Roman" w:hAnsi="Times New Roman" w:cs="Times New Roman"/>
                                  <w:color w:val="000000"/>
                                  <w:sz w:val="24"/>
                                  <w:szCs w:val="24"/>
                                </w:rPr>
                                <w:t>-КП»Благоустрій –Р» на оплату за ліхтарі по вуличному освітленню</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6214000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6214000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p>
                          </w:tc>
                        </w:tr>
                        <w:tr w:rsidR="00A52306" w:rsidRPr="003024C6" w:rsidTr="00A52306">
                          <w:trPr>
                            <w:trHeight w:val="54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color w:val="000000"/>
                                  <w:sz w:val="24"/>
                                  <w:szCs w:val="24"/>
                                </w:rPr>
                              </w:pPr>
                              <w:r w:rsidRPr="003024C6">
                                <w:rPr>
                                  <w:rFonts w:ascii="Times New Roman" w:hAnsi="Times New Roman" w:cs="Times New Roman"/>
                                  <w:color w:val="000000"/>
                                  <w:sz w:val="24"/>
                                  <w:szCs w:val="24"/>
                                </w:rPr>
                                <w:t>Співфінансування реалізації заходів грантового проекту «Опільська гончарня»</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49502,40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49502,40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p>
                          </w:tc>
                        </w:tr>
                        <w:tr w:rsidR="00A52306" w:rsidRPr="003024C6" w:rsidTr="00812270">
                          <w:trPr>
                            <w:trHeight w:val="64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812270" w:rsidRDefault="00A52306" w:rsidP="0095027C">
                              <w:pPr>
                                <w:spacing w:line="240" w:lineRule="auto"/>
                                <w:rPr>
                                  <w:rFonts w:ascii="Times New Roman" w:hAnsi="Times New Roman" w:cs="Times New Roman"/>
                                  <w:color w:val="000000"/>
                                  <w:sz w:val="24"/>
                                  <w:szCs w:val="24"/>
                                  <w:lang w:eastAsia="en-US"/>
                                </w:rPr>
                              </w:pPr>
                              <w:r w:rsidRPr="003024C6">
                                <w:rPr>
                                  <w:rFonts w:ascii="Times New Roman" w:hAnsi="Times New Roman" w:cs="Times New Roman"/>
                                  <w:color w:val="000000"/>
                                  <w:sz w:val="24"/>
                                  <w:szCs w:val="24"/>
                                </w:rPr>
                                <w:t>На зміцнення матеріально-технічної бази Рогатинської СДЮСШОР</w:t>
                              </w: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50000,0</w:t>
                              </w: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50000,0</w:t>
                              </w: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p>
                          </w:tc>
                        </w:tr>
                        <w:tr w:rsidR="00A52306" w:rsidRPr="003024C6" w:rsidTr="00A52306">
                          <w:trPr>
                            <w:trHeight w:val="540"/>
                          </w:trPr>
                          <w:tc>
                            <w:tcPr>
                              <w:tcW w:w="4250" w:type="dxa"/>
                              <w:tcBorders>
                                <w:top w:val="single" w:sz="4" w:space="0" w:color="auto"/>
                                <w:left w:val="single" w:sz="4" w:space="0" w:color="auto"/>
                                <w:bottom w:val="nil"/>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Разом по загальному фонду</w:t>
                              </w:r>
                            </w:p>
                          </w:tc>
                          <w:tc>
                            <w:tcPr>
                              <w:tcW w:w="1366" w:type="dxa"/>
                              <w:tcBorders>
                                <w:top w:val="single" w:sz="4" w:space="0" w:color="auto"/>
                                <w:left w:val="nil"/>
                                <w:bottom w:val="nil"/>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1489802,40</w:t>
                              </w:r>
                            </w:p>
                          </w:tc>
                          <w:tc>
                            <w:tcPr>
                              <w:tcW w:w="1379" w:type="dxa"/>
                              <w:tcBorders>
                                <w:top w:val="single" w:sz="4" w:space="0" w:color="auto"/>
                                <w:left w:val="nil"/>
                                <w:bottom w:val="nil"/>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1489802,40</w:t>
                              </w:r>
                            </w:p>
                          </w:tc>
                          <w:tc>
                            <w:tcPr>
                              <w:tcW w:w="1544" w:type="dxa"/>
                              <w:tcBorders>
                                <w:top w:val="single" w:sz="4" w:space="0" w:color="auto"/>
                                <w:left w:val="nil"/>
                                <w:bottom w:val="nil"/>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b/>
                                  <w:bCs/>
                                  <w:sz w:val="24"/>
                                  <w:szCs w:val="24"/>
                                  <w:lang w:eastAsia="uk-UA"/>
                                </w:rPr>
                              </w:pPr>
                            </w:p>
                          </w:tc>
                          <w:tc>
                            <w:tcPr>
                              <w:tcW w:w="1496" w:type="dxa"/>
                              <w:tcBorders>
                                <w:top w:val="single" w:sz="4" w:space="0" w:color="auto"/>
                                <w:left w:val="nil"/>
                                <w:bottom w:val="nil"/>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w:t>
                              </w:r>
                            </w:p>
                          </w:tc>
                        </w:tr>
                        <w:tr w:rsidR="00A52306" w:rsidRPr="003024C6" w:rsidTr="00812270">
                          <w:trPr>
                            <w:trHeight w:val="80"/>
                          </w:trPr>
                          <w:tc>
                            <w:tcPr>
                              <w:tcW w:w="4250" w:type="dxa"/>
                              <w:tcBorders>
                                <w:top w:val="nil"/>
                                <w:left w:val="single" w:sz="4" w:space="0" w:color="auto"/>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Cs/>
                                  <w:sz w:val="24"/>
                                  <w:szCs w:val="24"/>
                                  <w:lang w:eastAsia="uk-UA"/>
                                </w:rPr>
                              </w:pPr>
                            </w:p>
                          </w:tc>
                          <w:tc>
                            <w:tcPr>
                              <w:tcW w:w="1366"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
                                  <w:bCs/>
                                  <w:sz w:val="24"/>
                                  <w:szCs w:val="24"/>
                                  <w:lang w:eastAsia="uk-UA"/>
                                </w:rPr>
                              </w:pPr>
                            </w:p>
                          </w:tc>
                          <w:tc>
                            <w:tcPr>
                              <w:tcW w:w="1379" w:type="dxa"/>
                              <w:tcBorders>
                                <w:top w:val="nil"/>
                                <w:left w:val="nil"/>
                                <w:bottom w:val="single" w:sz="4" w:space="0" w:color="auto"/>
                                <w:right w:val="single" w:sz="4" w:space="0" w:color="auto"/>
                              </w:tcBorders>
                              <w:shd w:val="clear" w:color="000000" w:fill="FFFFFF"/>
                              <w:vAlign w:val="bottom"/>
                            </w:tcPr>
                            <w:p w:rsidR="00A52306" w:rsidRPr="003024C6" w:rsidRDefault="00A52306" w:rsidP="00812270">
                              <w:pPr>
                                <w:spacing w:line="240" w:lineRule="auto"/>
                                <w:jc w:val="center"/>
                                <w:rPr>
                                  <w:rFonts w:ascii="Times New Roman" w:hAnsi="Times New Roman" w:cs="Times New Roman"/>
                                  <w:b/>
                                  <w:bCs/>
                                  <w:sz w:val="24"/>
                                  <w:szCs w:val="24"/>
                                  <w:lang w:eastAsia="uk-UA"/>
                                </w:rPr>
                              </w:pPr>
                            </w:p>
                          </w:tc>
                          <w:tc>
                            <w:tcPr>
                              <w:tcW w:w="1544"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jc w:val="right"/>
                                <w:rPr>
                                  <w:rFonts w:ascii="Times New Roman" w:hAnsi="Times New Roman" w:cs="Times New Roman"/>
                                  <w:b/>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A52306" w:rsidRPr="003024C6" w:rsidRDefault="00A52306" w:rsidP="0095027C">
                              <w:pPr>
                                <w:spacing w:line="240" w:lineRule="auto"/>
                                <w:rPr>
                                  <w:rFonts w:ascii="Times New Roman" w:hAnsi="Times New Roman" w:cs="Times New Roman"/>
                                  <w:b/>
                                  <w:bCs/>
                                  <w:sz w:val="24"/>
                                  <w:szCs w:val="24"/>
                                  <w:lang w:eastAsia="uk-UA"/>
                                </w:rPr>
                              </w:pPr>
                            </w:p>
                          </w:tc>
                        </w:tr>
                      </w:tbl>
                      <w:p w:rsidR="00A52306" w:rsidRPr="003024C6" w:rsidRDefault="00A52306" w:rsidP="0095027C">
                        <w:pPr>
                          <w:spacing w:line="240" w:lineRule="auto"/>
                          <w:rPr>
                            <w:rFonts w:ascii="Times New Roman" w:hAnsi="Times New Roman" w:cs="Times New Roman"/>
                            <w:sz w:val="24"/>
                            <w:szCs w:val="24"/>
                            <w:lang w:eastAsia="uk-UA"/>
                          </w:rPr>
                        </w:pPr>
                      </w:p>
                    </w:tc>
                    <w:tc>
                      <w:tcPr>
                        <w:tcW w:w="1125" w:type="dxa"/>
                        <w:tcBorders>
                          <w:top w:val="nil"/>
                          <w:left w:val="nil"/>
                          <w:bottom w:val="nil"/>
                          <w:right w:val="nil"/>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lastRenderedPageBreak/>
                          <w:t> </w:t>
                        </w:r>
                      </w:p>
                    </w:tc>
                    <w:tc>
                      <w:tcPr>
                        <w:tcW w:w="1637" w:type="dxa"/>
                        <w:tcBorders>
                          <w:top w:val="nil"/>
                          <w:left w:val="nil"/>
                          <w:bottom w:val="nil"/>
                          <w:right w:val="nil"/>
                        </w:tcBorders>
                        <w:shd w:val="clear" w:color="000000" w:fill="FFFFFF"/>
                        <w:vAlign w:val="bottom"/>
                      </w:tcPr>
                      <w:p w:rsidR="00A52306" w:rsidRPr="003024C6" w:rsidRDefault="00A5230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bl>
                <w:p w:rsidR="003024C6" w:rsidRPr="003024C6" w:rsidRDefault="003024C6" w:rsidP="0095027C">
                  <w:pPr>
                    <w:spacing w:line="240" w:lineRule="auto"/>
                    <w:rPr>
                      <w:rFonts w:ascii="Times New Roman" w:hAnsi="Times New Roman" w:cs="Times New Roman"/>
                      <w:sz w:val="24"/>
                      <w:szCs w:val="24"/>
                      <w:lang w:eastAsia="uk-UA"/>
                    </w:rPr>
                  </w:pPr>
                </w:p>
              </w:tc>
            </w:tr>
          </w:tbl>
          <w:p w:rsidR="003024C6" w:rsidRPr="003024C6" w:rsidRDefault="003024C6" w:rsidP="0095027C">
            <w:pPr>
              <w:spacing w:line="240" w:lineRule="auto"/>
              <w:rPr>
                <w:rFonts w:ascii="Times New Roman" w:hAnsi="Times New Roman" w:cs="Times New Roman"/>
                <w:sz w:val="24"/>
                <w:szCs w:val="24"/>
                <w:lang w:eastAsia="uk-UA"/>
              </w:rPr>
            </w:pPr>
          </w:p>
        </w:tc>
        <w:tc>
          <w:tcPr>
            <w:tcW w:w="1932" w:type="dxa"/>
            <w:tcBorders>
              <w:top w:val="single" w:sz="4" w:space="0" w:color="auto"/>
              <w:left w:val="nil"/>
              <w:bottom w:val="nil"/>
              <w:right w:val="nil"/>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lastRenderedPageBreak/>
              <w:t> </w:t>
            </w:r>
          </w:p>
          <w:p w:rsidR="003024C6" w:rsidRPr="003024C6" w:rsidRDefault="003024C6" w:rsidP="0095027C">
            <w:pPr>
              <w:spacing w:line="240" w:lineRule="auto"/>
              <w:rPr>
                <w:rFonts w:ascii="Times New Roman" w:hAnsi="Times New Roman" w:cs="Times New Roman"/>
                <w:sz w:val="24"/>
                <w:szCs w:val="24"/>
                <w:lang w:eastAsia="uk-UA"/>
              </w:rPr>
            </w:pPr>
          </w:p>
          <w:p w:rsidR="003024C6" w:rsidRPr="003024C6" w:rsidRDefault="003024C6" w:rsidP="0095027C">
            <w:pPr>
              <w:spacing w:line="240" w:lineRule="auto"/>
              <w:rPr>
                <w:rFonts w:ascii="Times New Roman" w:hAnsi="Times New Roman" w:cs="Times New Roman"/>
                <w:sz w:val="24"/>
                <w:szCs w:val="24"/>
                <w:lang w:eastAsia="uk-UA"/>
              </w:rPr>
            </w:pPr>
          </w:p>
        </w:tc>
        <w:tc>
          <w:tcPr>
            <w:tcW w:w="1479" w:type="dxa"/>
            <w:tcBorders>
              <w:top w:val="nil"/>
              <w:left w:val="nil"/>
              <w:bottom w:val="nil"/>
              <w:right w:val="nil"/>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c>
          <w:tcPr>
            <w:tcW w:w="2205" w:type="dxa"/>
            <w:tcBorders>
              <w:top w:val="nil"/>
              <w:left w:val="nil"/>
              <w:bottom w:val="nil"/>
              <w:right w:val="nil"/>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bl>
    <w:p w:rsidR="003024C6" w:rsidRPr="003024C6" w:rsidRDefault="003024C6" w:rsidP="0095027C">
      <w:pPr>
        <w:tabs>
          <w:tab w:val="left" w:pos="1701"/>
        </w:tabs>
        <w:spacing w:line="240" w:lineRule="auto"/>
        <w:ind w:firstLine="709"/>
        <w:jc w:val="center"/>
        <w:rPr>
          <w:rFonts w:ascii="Times New Roman" w:hAnsi="Times New Roman" w:cs="Times New Roman"/>
          <w:b/>
          <w:bCs/>
          <w:sz w:val="24"/>
          <w:szCs w:val="24"/>
          <w:lang w:eastAsia="uk-UA"/>
        </w:rPr>
      </w:pPr>
    </w:p>
    <w:p w:rsidR="003024C6" w:rsidRPr="003024C6" w:rsidRDefault="003024C6" w:rsidP="0095027C">
      <w:pPr>
        <w:tabs>
          <w:tab w:val="left" w:pos="1701"/>
        </w:tabs>
        <w:spacing w:line="240" w:lineRule="auto"/>
        <w:ind w:firstLine="709"/>
        <w:jc w:val="center"/>
        <w:rPr>
          <w:rFonts w:ascii="Times New Roman" w:hAnsi="Times New Roman" w:cs="Times New Roman"/>
          <w:b/>
          <w:bCs/>
          <w:sz w:val="28"/>
          <w:szCs w:val="28"/>
          <w:lang w:eastAsia="uk-UA"/>
        </w:rPr>
      </w:pPr>
      <w:r w:rsidRPr="003024C6">
        <w:rPr>
          <w:rFonts w:ascii="Times New Roman" w:hAnsi="Times New Roman" w:cs="Times New Roman"/>
          <w:b/>
          <w:bCs/>
          <w:sz w:val="28"/>
          <w:szCs w:val="28"/>
          <w:lang w:eastAsia="uk-UA"/>
        </w:rPr>
        <w:t>Спеціальний фонд</w:t>
      </w:r>
    </w:p>
    <w:tbl>
      <w:tblPr>
        <w:tblW w:w="10060" w:type="dxa"/>
        <w:tblInd w:w="113" w:type="dxa"/>
        <w:tblLook w:val="04A0" w:firstRow="1" w:lastRow="0" w:firstColumn="1" w:lastColumn="0" w:noHBand="0" w:noVBand="1"/>
      </w:tblPr>
      <w:tblGrid>
        <w:gridCol w:w="4248"/>
        <w:gridCol w:w="1393"/>
        <w:gridCol w:w="1379"/>
        <w:gridCol w:w="1544"/>
        <w:gridCol w:w="1496"/>
      </w:tblGrid>
      <w:tr w:rsidR="00233CAB" w:rsidRPr="003024C6" w:rsidTr="00233CAB">
        <w:trPr>
          <w:trHeight w:val="6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tcPr>
          <w:p w:rsidR="003024C6" w:rsidRPr="003024C6" w:rsidRDefault="003024C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Найменування об’єктів фінансування</w:t>
            </w:r>
          </w:p>
        </w:tc>
        <w:tc>
          <w:tcPr>
            <w:tcW w:w="1393" w:type="dxa"/>
            <w:tcBorders>
              <w:top w:val="single" w:sz="4" w:space="0" w:color="auto"/>
              <w:left w:val="nil"/>
              <w:bottom w:val="single" w:sz="4" w:space="0" w:color="auto"/>
              <w:right w:val="single" w:sz="4" w:space="0" w:color="auto"/>
            </w:tcBorders>
            <w:shd w:val="clear" w:color="000000" w:fill="FFFFFF"/>
            <w:vAlign w:val="center"/>
          </w:tcPr>
          <w:p w:rsidR="00812270" w:rsidRDefault="003024C6" w:rsidP="0095027C">
            <w:pPr>
              <w:spacing w:line="240" w:lineRule="auto"/>
              <w:jc w:val="center"/>
              <w:rPr>
                <w:rFonts w:ascii="Times New Roman" w:hAnsi="Times New Roman" w:cs="Times New Roman"/>
                <w:b/>
                <w:bCs/>
                <w:sz w:val="24"/>
                <w:szCs w:val="24"/>
                <w:lang w:val="uk-UA" w:eastAsia="uk-UA"/>
              </w:rPr>
            </w:pPr>
            <w:r w:rsidRPr="003024C6">
              <w:rPr>
                <w:rFonts w:ascii="Times New Roman" w:hAnsi="Times New Roman" w:cs="Times New Roman"/>
                <w:b/>
                <w:bCs/>
                <w:sz w:val="24"/>
                <w:szCs w:val="24"/>
                <w:lang w:eastAsia="uk-UA"/>
              </w:rPr>
              <w:t>Профінан</w:t>
            </w:r>
            <w:r w:rsidR="00812270">
              <w:rPr>
                <w:rFonts w:ascii="Times New Roman" w:hAnsi="Times New Roman" w:cs="Times New Roman"/>
                <w:b/>
                <w:bCs/>
                <w:sz w:val="24"/>
                <w:szCs w:val="24"/>
                <w:lang w:val="uk-UA" w:eastAsia="uk-UA"/>
              </w:rPr>
              <w:t>-</w:t>
            </w:r>
          </w:p>
          <w:p w:rsidR="003024C6" w:rsidRPr="003024C6" w:rsidRDefault="003024C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совано з обласного бюджету</w:t>
            </w:r>
          </w:p>
        </w:tc>
        <w:tc>
          <w:tcPr>
            <w:tcW w:w="1379" w:type="dxa"/>
            <w:tcBorders>
              <w:top w:val="single" w:sz="4" w:space="0" w:color="auto"/>
              <w:left w:val="nil"/>
              <w:bottom w:val="single" w:sz="4" w:space="0" w:color="auto"/>
              <w:right w:val="single" w:sz="4" w:space="0" w:color="auto"/>
            </w:tcBorders>
            <w:shd w:val="clear" w:color="000000" w:fill="FFFFFF"/>
            <w:vAlign w:val="center"/>
          </w:tcPr>
          <w:p w:rsidR="003024C6" w:rsidRPr="003024C6" w:rsidRDefault="003024C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Проведено касові видатки</w:t>
            </w:r>
          </w:p>
        </w:tc>
        <w:tc>
          <w:tcPr>
            <w:tcW w:w="1544" w:type="dxa"/>
            <w:tcBorders>
              <w:top w:val="single" w:sz="4" w:space="0" w:color="auto"/>
              <w:left w:val="nil"/>
              <w:bottom w:val="single" w:sz="4" w:space="0" w:color="auto"/>
              <w:right w:val="single" w:sz="4" w:space="0" w:color="auto"/>
            </w:tcBorders>
            <w:shd w:val="clear" w:color="000000" w:fill="FFFFFF"/>
            <w:vAlign w:val="center"/>
          </w:tcPr>
          <w:p w:rsidR="00812270" w:rsidRDefault="003024C6" w:rsidP="0095027C">
            <w:pPr>
              <w:spacing w:line="240" w:lineRule="auto"/>
              <w:jc w:val="center"/>
              <w:rPr>
                <w:rFonts w:ascii="Times New Roman" w:hAnsi="Times New Roman" w:cs="Times New Roman"/>
                <w:b/>
                <w:bCs/>
                <w:sz w:val="24"/>
                <w:szCs w:val="24"/>
                <w:lang w:val="uk-UA" w:eastAsia="uk-UA"/>
              </w:rPr>
            </w:pPr>
            <w:r w:rsidRPr="003024C6">
              <w:rPr>
                <w:rFonts w:ascii="Times New Roman" w:hAnsi="Times New Roman" w:cs="Times New Roman"/>
                <w:b/>
                <w:bCs/>
                <w:sz w:val="24"/>
                <w:szCs w:val="24"/>
                <w:lang w:eastAsia="uk-UA"/>
              </w:rPr>
              <w:t>Повернення невикорис</w:t>
            </w:r>
            <w:r w:rsidR="00812270">
              <w:rPr>
                <w:rFonts w:ascii="Times New Roman" w:hAnsi="Times New Roman" w:cs="Times New Roman"/>
                <w:b/>
                <w:bCs/>
                <w:sz w:val="24"/>
                <w:szCs w:val="24"/>
                <w:lang w:val="uk-UA" w:eastAsia="uk-UA"/>
              </w:rPr>
              <w:t>-</w:t>
            </w:r>
          </w:p>
          <w:p w:rsidR="00812270" w:rsidRDefault="00812270" w:rsidP="0095027C">
            <w:pPr>
              <w:spacing w:line="240" w:lineRule="auto"/>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т</w:t>
            </w:r>
            <w:r w:rsidR="003024C6" w:rsidRPr="003024C6">
              <w:rPr>
                <w:rFonts w:ascii="Times New Roman" w:hAnsi="Times New Roman" w:cs="Times New Roman"/>
                <w:b/>
                <w:bCs/>
                <w:sz w:val="24"/>
                <w:szCs w:val="24"/>
                <w:lang w:eastAsia="uk-UA"/>
              </w:rPr>
              <w:t>аних</w:t>
            </w:r>
          </w:p>
          <w:p w:rsidR="003024C6" w:rsidRPr="003024C6" w:rsidRDefault="003024C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xml:space="preserve"> коштів</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3024C6" w:rsidRPr="003024C6" w:rsidRDefault="003024C6" w:rsidP="0095027C">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Причини повернення коштів</w:t>
            </w:r>
          </w:p>
        </w:tc>
      </w:tr>
      <w:tr w:rsidR="00233CAB" w:rsidRPr="003024C6" w:rsidTr="00233CAB">
        <w:trPr>
          <w:trHeight w:val="225"/>
        </w:trPr>
        <w:tc>
          <w:tcPr>
            <w:tcW w:w="4248" w:type="dxa"/>
            <w:tcBorders>
              <w:top w:val="nil"/>
              <w:left w:val="single" w:sz="4" w:space="0" w:color="auto"/>
              <w:bottom w:val="single" w:sz="4" w:space="0" w:color="auto"/>
              <w:right w:val="single" w:sz="4" w:space="0" w:color="auto"/>
            </w:tcBorders>
            <w:shd w:val="clear" w:color="auto" w:fill="auto"/>
            <w:vAlign w:val="center"/>
          </w:tcPr>
          <w:p w:rsidR="003024C6" w:rsidRPr="003024C6" w:rsidRDefault="003024C6" w:rsidP="0095027C">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sz w:val="24"/>
                <w:szCs w:val="24"/>
                <w:lang w:eastAsia="uk-UA"/>
              </w:rPr>
              <w:t>На встановлення пожежної сигналізації в приміщенні КНП»Рогатинський ЦП МСД»</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198554,4</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198554,4</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r w:rsidR="00233CAB" w:rsidRPr="003024C6" w:rsidTr="00233CAB">
        <w:trPr>
          <w:trHeight w:val="450"/>
        </w:trPr>
        <w:tc>
          <w:tcPr>
            <w:tcW w:w="4248" w:type="dxa"/>
            <w:tcBorders>
              <w:top w:val="nil"/>
              <w:left w:val="single" w:sz="4" w:space="0" w:color="auto"/>
              <w:bottom w:val="single" w:sz="4" w:space="0" w:color="auto"/>
              <w:right w:val="single" w:sz="4" w:space="0" w:color="auto"/>
            </w:tcBorders>
            <w:shd w:val="clear" w:color="auto" w:fill="auto"/>
            <w:vAlign w:val="center"/>
          </w:tcPr>
          <w:p w:rsidR="003024C6" w:rsidRPr="003024C6" w:rsidRDefault="003024C6" w:rsidP="0095027C">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На придбання медичного обладнання для  КНМП «Рогатинська ЦРЛ»</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3700000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Cs/>
                <w:sz w:val="24"/>
                <w:szCs w:val="24"/>
                <w:lang w:eastAsia="uk-UA"/>
              </w:rPr>
            </w:pPr>
            <w:r w:rsidRPr="003024C6">
              <w:rPr>
                <w:rFonts w:ascii="Times New Roman" w:hAnsi="Times New Roman" w:cs="Times New Roman"/>
                <w:iCs/>
                <w:sz w:val="24"/>
                <w:szCs w:val="24"/>
                <w:lang w:eastAsia="uk-UA"/>
              </w:rPr>
              <w:t>3700000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i/>
                <w:i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p>
        </w:tc>
      </w:tr>
      <w:tr w:rsidR="00233CAB" w:rsidRPr="003024C6" w:rsidTr="00233CAB">
        <w:trPr>
          <w:trHeight w:val="450"/>
        </w:trPr>
        <w:tc>
          <w:tcPr>
            <w:tcW w:w="4248" w:type="dxa"/>
            <w:tcBorders>
              <w:top w:val="nil"/>
              <w:left w:val="single" w:sz="4" w:space="0" w:color="auto"/>
              <w:bottom w:val="single" w:sz="4" w:space="0" w:color="auto"/>
              <w:right w:val="single" w:sz="4" w:space="0" w:color="auto"/>
            </w:tcBorders>
            <w:shd w:val="clear" w:color="auto" w:fill="auto"/>
            <w:vAlign w:val="center"/>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Капітальний ремонт ліфта «Рогатинська ЦРЛ»</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513000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sz w:val="24"/>
                <w:szCs w:val="24"/>
                <w:lang w:eastAsia="uk-UA"/>
              </w:rPr>
            </w:pPr>
            <w:r w:rsidRPr="003024C6">
              <w:rPr>
                <w:rFonts w:ascii="Times New Roman" w:hAnsi="Times New Roman" w:cs="Times New Roman"/>
                <w:sz w:val="24"/>
                <w:szCs w:val="24"/>
                <w:lang w:eastAsia="uk-UA"/>
              </w:rPr>
              <w:t>513000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sz w:val="24"/>
                <w:szCs w:val="24"/>
                <w:lang w:eastAsia="uk-UA"/>
              </w:rPr>
            </w:pPr>
            <w:r w:rsidRPr="003024C6">
              <w:rPr>
                <w:rFonts w:ascii="Times New Roman" w:hAnsi="Times New Roman" w:cs="Times New Roman"/>
                <w:sz w:val="24"/>
                <w:szCs w:val="24"/>
                <w:lang w:eastAsia="uk-UA"/>
              </w:rPr>
              <w:t> </w:t>
            </w:r>
          </w:p>
        </w:tc>
      </w:tr>
      <w:tr w:rsidR="00233CAB" w:rsidRPr="003024C6" w:rsidTr="00233CAB">
        <w:trPr>
          <w:trHeight w:val="540"/>
        </w:trPr>
        <w:tc>
          <w:tcPr>
            <w:tcW w:w="4248" w:type="dxa"/>
            <w:tcBorders>
              <w:top w:val="nil"/>
              <w:left w:val="single" w:sz="4" w:space="0" w:color="auto"/>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Капітальний ремонт частини виділеного приміщення некомерційного підпр. «Рогатинська ЦПМ-СД»</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180000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180000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
                <w:bCs/>
                <w:sz w:val="24"/>
                <w:szCs w:val="24"/>
                <w:lang w:eastAsia="uk-UA"/>
              </w:rPr>
            </w:pPr>
          </w:p>
        </w:tc>
      </w:tr>
      <w:tr w:rsidR="00233CAB" w:rsidRPr="003024C6" w:rsidTr="00233CAB">
        <w:trPr>
          <w:trHeight w:val="540"/>
        </w:trPr>
        <w:tc>
          <w:tcPr>
            <w:tcW w:w="4248" w:type="dxa"/>
            <w:tcBorders>
              <w:top w:val="nil"/>
              <w:left w:val="single" w:sz="4" w:space="0" w:color="auto"/>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Придбання однострою для учасників пластових гуртків</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120000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91250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28750</w:t>
            </w: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
                <w:bCs/>
                <w:sz w:val="24"/>
                <w:szCs w:val="24"/>
                <w:lang w:eastAsia="uk-UA"/>
              </w:rPr>
            </w:pPr>
          </w:p>
        </w:tc>
      </w:tr>
      <w:tr w:rsidR="00233CAB" w:rsidRPr="003024C6" w:rsidTr="00233CAB">
        <w:trPr>
          <w:trHeight w:val="540"/>
        </w:trPr>
        <w:tc>
          <w:tcPr>
            <w:tcW w:w="4248" w:type="dxa"/>
            <w:tcBorders>
              <w:top w:val="nil"/>
              <w:left w:val="single" w:sz="4" w:space="0" w:color="auto"/>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На капітальний ремонт (заміна) ліфта в головному корпусі КНМП «Рогатинська ЦРЛ»</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225000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r w:rsidRPr="003024C6">
              <w:rPr>
                <w:rFonts w:ascii="Times New Roman" w:hAnsi="Times New Roman" w:cs="Times New Roman"/>
                <w:bCs/>
                <w:sz w:val="24"/>
                <w:szCs w:val="24"/>
                <w:lang w:eastAsia="uk-UA"/>
              </w:rPr>
              <w:t>225000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Cs/>
                <w:sz w:val="24"/>
                <w:szCs w:val="24"/>
                <w:lang w:eastAsia="uk-UA"/>
              </w:rPr>
            </w:pP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
                <w:bCs/>
                <w:sz w:val="24"/>
                <w:szCs w:val="24"/>
                <w:lang w:eastAsia="uk-UA"/>
              </w:rPr>
            </w:pPr>
          </w:p>
        </w:tc>
      </w:tr>
      <w:tr w:rsidR="00233CAB" w:rsidRPr="003024C6" w:rsidTr="00233CAB">
        <w:trPr>
          <w:trHeight w:val="540"/>
        </w:trPr>
        <w:tc>
          <w:tcPr>
            <w:tcW w:w="4248" w:type="dxa"/>
            <w:tcBorders>
              <w:top w:val="nil"/>
              <w:left w:val="single" w:sz="4" w:space="0" w:color="auto"/>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Разом по спеціальному фонду</w:t>
            </w:r>
          </w:p>
        </w:tc>
        <w:tc>
          <w:tcPr>
            <w:tcW w:w="1393"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4936554,40</w:t>
            </w:r>
          </w:p>
        </w:tc>
        <w:tc>
          <w:tcPr>
            <w:tcW w:w="1379"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2907804,40</w:t>
            </w:r>
          </w:p>
        </w:tc>
        <w:tc>
          <w:tcPr>
            <w:tcW w:w="1544" w:type="dxa"/>
            <w:tcBorders>
              <w:top w:val="nil"/>
              <w:left w:val="nil"/>
              <w:bottom w:val="single" w:sz="4" w:space="0" w:color="auto"/>
              <w:right w:val="single" w:sz="4" w:space="0" w:color="auto"/>
            </w:tcBorders>
            <w:shd w:val="clear" w:color="000000" w:fill="FFFFFF"/>
            <w:vAlign w:val="bottom"/>
          </w:tcPr>
          <w:p w:rsidR="003024C6" w:rsidRPr="003024C6" w:rsidRDefault="003024C6" w:rsidP="00812270">
            <w:pPr>
              <w:spacing w:line="240" w:lineRule="auto"/>
              <w:jc w:val="center"/>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28750</w:t>
            </w:r>
          </w:p>
        </w:tc>
        <w:tc>
          <w:tcPr>
            <w:tcW w:w="1496" w:type="dxa"/>
            <w:tcBorders>
              <w:top w:val="nil"/>
              <w:left w:val="nil"/>
              <w:bottom w:val="single" w:sz="4" w:space="0" w:color="auto"/>
              <w:right w:val="single" w:sz="4" w:space="0" w:color="auto"/>
            </w:tcBorders>
            <w:shd w:val="clear" w:color="000000" w:fill="FFFFFF"/>
            <w:vAlign w:val="bottom"/>
          </w:tcPr>
          <w:p w:rsidR="003024C6" w:rsidRPr="003024C6" w:rsidRDefault="003024C6" w:rsidP="0095027C">
            <w:pPr>
              <w:spacing w:line="240" w:lineRule="auto"/>
              <w:rPr>
                <w:rFonts w:ascii="Times New Roman" w:hAnsi="Times New Roman" w:cs="Times New Roman"/>
                <w:b/>
                <w:bCs/>
                <w:sz w:val="24"/>
                <w:szCs w:val="24"/>
                <w:lang w:eastAsia="uk-UA"/>
              </w:rPr>
            </w:pPr>
            <w:r w:rsidRPr="003024C6">
              <w:rPr>
                <w:rFonts w:ascii="Times New Roman" w:hAnsi="Times New Roman" w:cs="Times New Roman"/>
                <w:b/>
                <w:bCs/>
                <w:sz w:val="24"/>
                <w:szCs w:val="24"/>
                <w:lang w:eastAsia="uk-UA"/>
              </w:rPr>
              <w:t> </w:t>
            </w:r>
          </w:p>
        </w:tc>
      </w:tr>
    </w:tbl>
    <w:p w:rsidR="003024C6" w:rsidRPr="003024C6" w:rsidRDefault="003024C6" w:rsidP="0095027C">
      <w:pPr>
        <w:tabs>
          <w:tab w:val="left" w:pos="1701"/>
        </w:tabs>
        <w:spacing w:line="240" w:lineRule="auto"/>
        <w:rPr>
          <w:rFonts w:ascii="Times New Roman" w:hAnsi="Times New Roman" w:cs="Times New Roman"/>
          <w:b/>
          <w:bCs/>
          <w:caps/>
          <w:sz w:val="28"/>
          <w:szCs w:val="28"/>
        </w:rPr>
      </w:pPr>
    </w:p>
    <w:p w:rsidR="003024C6" w:rsidRPr="00812270" w:rsidRDefault="003024C6" w:rsidP="0095027C">
      <w:pPr>
        <w:tabs>
          <w:tab w:val="left" w:pos="1701"/>
        </w:tabs>
        <w:spacing w:line="240" w:lineRule="auto"/>
        <w:ind w:firstLine="709"/>
        <w:jc w:val="center"/>
        <w:rPr>
          <w:rFonts w:ascii="Times New Roman" w:hAnsi="Times New Roman" w:cs="Times New Roman"/>
          <w:b/>
          <w:bCs/>
          <w:i/>
          <w:sz w:val="28"/>
          <w:szCs w:val="28"/>
        </w:rPr>
      </w:pPr>
      <w:r w:rsidRPr="00812270">
        <w:rPr>
          <w:rFonts w:ascii="Times New Roman" w:hAnsi="Times New Roman" w:cs="Times New Roman"/>
          <w:b/>
          <w:bCs/>
          <w:i/>
          <w:caps/>
          <w:sz w:val="28"/>
          <w:szCs w:val="28"/>
        </w:rPr>
        <w:t xml:space="preserve"> Мережа, штати та контингент бюджетних</w:t>
      </w:r>
      <w:r w:rsidRPr="00812270">
        <w:rPr>
          <w:rFonts w:ascii="Times New Roman" w:hAnsi="Times New Roman" w:cs="Times New Roman"/>
          <w:b/>
          <w:bCs/>
          <w:i/>
          <w:caps/>
          <w:sz w:val="28"/>
          <w:szCs w:val="28"/>
          <w:lang w:val="uk-UA"/>
        </w:rPr>
        <w:t xml:space="preserve"> </w:t>
      </w:r>
      <w:r w:rsidRPr="00812270">
        <w:rPr>
          <w:rFonts w:ascii="Times New Roman" w:hAnsi="Times New Roman" w:cs="Times New Roman"/>
          <w:b/>
          <w:bCs/>
          <w:i/>
          <w:caps/>
          <w:sz w:val="28"/>
          <w:szCs w:val="28"/>
        </w:rPr>
        <w:t>установ</w:t>
      </w:r>
    </w:p>
    <w:p w:rsidR="003024C6" w:rsidRPr="003024C6" w:rsidRDefault="003024C6" w:rsidP="0095027C">
      <w:pPr>
        <w:keepNext/>
        <w:tabs>
          <w:tab w:val="left" w:pos="1701"/>
        </w:tabs>
        <w:spacing w:line="240" w:lineRule="auto"/>
        <w:ind w:firstLine="709"/>
        <w:jc w:val="both"/>
        <w:outlineLvl w:val="1"/>
        <w:rPr>
          <w:rFonts w:ascii="Times New Roman" w:hAnsi="Times New Roman" w:cs="Times New Roman"/>
          <w:sz w:val="28"/>
        </w:rPr>
      </w:pPr>
      <w:r w:rsidRPr="003024C6">
        <w:rPr>
          <w:rFonts w:ascii="Times New Roman" w:hAnsi="Times New Roman" w:cs="Times New Roman"/>
          <w:sz w:val="28"/>
        </w:rPr>
        <w:t>На кінець 2023 року з бюджету Рогатинської міської територіальної громади фінансуються 88 бюджетних установ.</w:t>
      </w:r>
    </w:p>
    <w:p w:rsidR="003024C6" w:rsidRPr="007336D5" w:rsidRDefault="003024C6" w:rsidP="003024C6">
      <w:pPr>
        <w:keepNext/>
        <w:tabs>
          <w:tab w:val="left" w:pos="1701"/>
        </w:tabs>
        <w:jc w:val="both"/>
        <w:outlineLvl w:val="1"/>
        <w:rPr>
          <w:sz w:val="28"/>
        </w:rPr>
      </w:pPr>
    </w:p>
    <w:p w:rsidR="00551BC8" w:rsidRPr="00812270" w:rsidRDefault="0017088A" w:rsidP="005B21AB">
      <w:pPr>
        <w:pStyle w:val="tj"/>
        <w:shd w:val="clear" w:color="auto" w:fill="FFFFFF"/>
        <w:spacing w:before="0" w:beforeAutospacing="0" w:after="0" w:afterAutospacing="0"/>
        <w:jc w:val="center"/>
        <w:rPr>
          <w:color w:val="000000"/>
          <w:sz w:val="28"/>
          <w:szCs w:val="28"/>
        </w:rPr>
      </w:pPr>
      <w:r w:rsidRPr="00812270">
        <w:rPr>
          <w:b/>
          <w:color w:val="000000"/>
          <w:sz w:val="28"/>
          <w:szCs w:val="28"/>
        </w:rPr>
        <w:t>5. Пропозиції заінтересованих  учасників</w:t>
      </w:r>
      <w:r w:rsidR="002763B0" w:rsidRPr="00812270">
        <w:rPr>
          <w:b/>
          <w:color w:val="000000"/>
          <w:sz w:val="28"/>
          <w:szCs w:val="28"/>
        </w:rPr>
        <w:t>.</w:t>
      </w:r>
    </w:p>
    <w:p w:rsidR="00657E83" w:rsidRDefault="00657E83"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812270">
        <w:rPr>
          <w:rFonts w:ascii="Times New Roman" w:eastAsia="Times New Roman" w:hAnsi="Times New Roman" w:cs="Times New Roman"/>
          <w:color w:val="000000"/>
          <w:sz w:val="28"/>
          <w:szCs w:val="28"/>
          <w:lang w:val="uk-UA"/>
        </w:rPr>
        <w:t xml:space="preserve">    </w:t>
      </w:r>
      <w:r w:rsidR="00112DF9" w:rsidRPr="00812270">
        <w:rPr>
          <w:rFonts w:ascii="Times New Roman" w:eastAsia="Times New Roman" w:hAnsi="Times New Roman" w:cs="Times New Roman"/>
          <w:color w:val="000000"/>
          <w:sz w:val="28"/>
          <w:szCs w:val="28"/>
        </w:rPr>
        <w:t>Про</w:t>
      </w:r>
      <w:r w:rsidR="00112DF9" w:rsidRPr="00812270">
        <w:rPr>
          <w:rFonts w:ascii="Times New Roman" w:eastAsia="Times New Roman" w:hAnsi="Times New Roman" w:cs="Times New Roman"/>
          <w:color w:val="000000"/>
          <w:sz w:val="28"/>
          <w:szCs w:val="28"/>
          <w:lang w:val="uk-UA"/>
        </w:rPr>
        <w:t>є</w:t>
      </w:r>
      <w:r w:rsidR="002763B0" w:rsidRPr="00812270">
        <w:rPr>
          <w:rFonts w:ascii="Times New Roman" w:eastAsia="Times New Roman" w:hAnsi="Times New Roman" w:cs="Times New Roman"/>
          <w:color w:val="000000"/>
          <w:sz w:val="28"/>
          <w:szCs w:val="28"/>
        </w:rPr>
        <w:t xml:space="preserve">кт рішення не потребує пропозицій зацікавлених органів. </w:t>
      </w:r>
    </w:p>
    <w:p w:rsidR="00233CAB" w:rsidRPr="00812270" w:rsidRDefault="00233CAB"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p>
    <w:p w:rsidR="00551BC8" w:rsidRPr="00812270" w:rsidRDefault="00657E83" w:rsidP="00657E83">
      <w:pPr>
        <w:pStyle w:val="1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812270">
        <w:rPr>
          <w:rFonts w:ascii="Times New Roman" w:eastAsia="Times New Roman" w:hAnsi="Times New Roman" w:cs="Times New Roman"/>
          <w:b/>
          <w:color w:val="000000"/>
          <w:sz w:val="28"/>
          <w:szCs w:val="28"/>
          <w:lang w:val="uk-UA"/>
        </w:rPr>
        <w:t>6</w:t>
      </w:r>
      <w:r w:rsidR="002763B0" w:rsidRPr="00812270">
        <w:rPr>
          <w:rFonts w:ascii="Times New Roman" w:eastAsia="Times New Roman" w:hAnsi="Times New Roman" w:cs="Times New Roman"/>
          <w:b/>
          <w:color w:val="000000"/>
          <w:sz w:val="28"/>
          <w:szCs w:val="28"/>
        </w:rPr>
        <w:t>. Громадське обговорення.</w:t>
      </w:r>
    </w:p>
    <w:p w:rsidR="00657E83" w:rsidRDefault="00657E83"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r w:rsidRPr="00812270">
        <w:rPr>
          <w:rFonts w:ascii="Times New Roman" w:eastAsia="Times New Roman" w:hAnsi="Times New Roman" w:cs="Times New Roman"/>
          <w:color w:val="000000"/>
          <w:sz w:val="28"/>
          <w:szCs w:val="28"/>
          <w:lang w:val="uk-UA"/>
        </w:rPr>
        <w:t xml:space="preserve">   </w:t>
      </w:r>
      <w:r w:rsidR="002763B0" w:rsidRPr="00812270">
        <w:rPr>
          <w:rFonts w:ascii="Times New Roman" w:eastAsia="Times New Roman" w:hAnsi="Times New Roman" w:cs="Times New Roman"/>
          <w:color w:val="000000"/>
          <w:sz w:val="28"/>
          <w:szCs w:val="28"/>
        </w:rPr>
        <w:t xml:space="preserve">Не потребує громадського обговорення  </w:t>
      </w:r>
      <w:r w:rsidRPr="00812270">
        <w:rPr>
          <w:rFonts w:ascii="Times New Roman" w:eastAsia="Times New Roman" w:hAnsi="Times New Roman" w:cs="Times New Roman"/>
          <w:color w:val="000000"/>
          <w:sz w:val="28"/>
          <w:szCs w:val="28"/>
          <w:lang w:val="uk-UA"/>
        </w:rPr>
        <w:t>.</w:t>
      </w:r>
    </w:p>
    <w:p w:rsidR="00233CAB" w:rsidRPr="00812270" w:rsidRDefault="00233CAB" w:rsidP="00657E83">
      <w:pPr>
        <w:pStyle w:val="10"/>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lang w:val="uk-UA"/>
        </w:rPr>
      </w:pPr>
    </w:p>
    <w:p w:rsidR="00551BC8" w:rsidRPr="00812270" w:rsidRDefault="00657E83" w:rsidP="00657E83">
      <w:pPr>
        <w:pStyle w:val="1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lang w:val="uk-UA"/>
        </w:rPr>
      </w:pPr>
      <w:r w:rsidRPr="00812270">
        <w:rPr>
          <w:rFonts w:ascii="Times New Roman" w:eastAsia="Times New Roman" w:hAnsi="Times New Roman" w:cs="Times New Roman"/>
          <w:b/>
          <w:color w:val="000000"/>
          <w:sz w:val="28"/>
          <w:szCs w:val="28"/>
          <w:lang w:val="uk-UA"/>
        </w:rPr>
        <w:t>7</w:t>
      </w:r>
      <w:r w:rsidR="002763B0" w:rsidRPr="00812270">
        <w:rPr>
          <w:rFonts w:ascii="Times New Roman" w:eastAsia="Times New Roman" w:hAnsi="Times New Roman" w:cs="Times New Roman"/>
          <w:b/>
          <w:color w:val="000000"/>
          <w:sz w:val="28"/>
          <w:szCs w:val="28"/>
          <w:lang w:val="uk-UA"/>
        </w:rPr>
        <w:t>. Прогноз результатів.</w:t>
      </w:r>
    </w:p>
    <w:p w:rsidR="00551BC8" w:rsidRPr="00812270" w:rsidRDefault="008F2FE0" w:rsidP="002478EF">
      <w:pPr>
        <w:jc w:val="both"/>
        <w:rPr>
          <w:rFonts w:ascii="Times New Roman" w:eastAsia="Times New Roman" w:hAnsi="Times New Roman" w:cs="Times New Roman"/>
          <w:color w:val="000000"/>
          <w:sz w:val="28"/>
          <w:szCs w:val="28"/>
          <w:highlight w:val="white"/>
          <w:lang w:val="uk-UA"/>
        </w:rPr>
      </w:pPr>
      <w:r w:rsidRPr="00812270">
        <w:rPr>
          <w:rFonts w:ascii="Times New Roman" w:eastAsia="Times New Roman" w:hAnsi="Times New Roman" w:cs="Times New Roman"/>
          <w:color w:val="000000"/>
          <w:sz w:val="28"/>
          <w:szCs w:val="28"/>
          <w:highlight w:val="white"/>
          <w:lang w:val="uk-UA"/>
        </w:rPr>
        <w:lastRenderedPageBreak/>
        <w:t xml:space="preserve">    </w:t>
      </w:r>
      <w:r w:rsidR="00657E83" w:rsidRPr="00812270">
        <w:rPr>
          <w:rFonts w:ascii="Times New Roman" w:eastAsia="Times New Roman" w:hAnsi="Times New Roman" w:cs="Times New Roman"/>
          <w:color w:val="000000"/>
          <w:sz w:val="28"/>
          <w:szCs w:val="28"/>
          <w:highlight w:val="white"/>
          <w:lang w:val="uk-UA"/>
        </w:rPr>
        <w:t>Прийняття</w:t>
      </w:r>
      <w:r w:rsidR="00112DF9" w:rsidRPr="00812270">
        <w:rPr>
          <w:rFonts w:ascii="Times New Roman" w:hAnsi="Times New Roman" w:cs="Times New Roman"/>
          <w:sz w:val="28"/>
          <w:szCs w:val="28"/>
          <w:lang w:val="uk-UA"/>
        </w:rPr>
        <w:t xml:space="preserve"> проє</w:t>
      </w:r>
      <w:r w:rsidR="00657E83" w:rsidRPr="00812270">
        <w:rPr>
          <w:rFonts w:ascii="Times New Roman" w:hAnsi="Times New Roman" w:cs="Times New Roman"/>
          <w:sz w:val="28"/>
          <w:szCs w:val="28"/>
          <w:lang w:val="uk-UA"/>
        </w:rPr>
        <w:t>кту рішення</w:t>
      </w:r>
      <w:r w:rsidR="00657E83" w:rsidRPr="00812270">
        <w:rPr>
          <w:rFonts w:ascii="Times New Roman" w:hAnsi="Times New Roman" w:cs="Times New Roman"/>
          <w:sz w:val="28"/>
          <w:szCs w:val="28"/>
          <w:lang w:val="uk-UA" w:eastAsia="en-US"/>
        </w:rPr>
        <w:t xml:space="preserve"> </w:t>
      </w:r>
      <w:r w:rsidRPr="00812270">
        <w:rPr>
          <w:rFonts w:ascii="Times New Roman" w:hAnsi="Times New Roman" w:cs="Times New Roman"/>
          <w:sz w:val="28"/>
          <w:szCs w:val="28"/>
          <w:lang w:val="uk-UA" w:eastAsia="en-US"/>
        </w:rPr>
        <w:t>«</w:t>
      </w:r>
      <w:r w:rsidR="002478EF" w:rsidRPr="00812270">
        <w:rPr>
          <w:rFonts w:ascii="Times New Roman" w:hAnsi="Times New Roman" w:cs="Times New Roman"/>
          <w:sz w:val="28"/>
          <w:szCs w:val="28"/>
          <w:lang w:val="uk-UA" w:eastAsia="en-US"/>
        </w:rPr>
        <w:t xml:space="preserve">Звіт про виконання  бюджету  Рогатинської  міської територіальної громади </w:t>
      </w:r>
      <w:r w:rsidR="001B4031" w:rsidRPr="00812270">
        <w:rPr>
          <w:rFonts w:ascii="Times New Roman" w:hAnsi="Times New Roman" w:cs="Times New Roman"/>
          <w:sz w:val="28"/>
          <w:szCs w:val="28"/>
          <w:lang w:val="uk-UA" w:eastAsia="en-US"/>
        </w:rPr>
        <w:t>за 2023</w:t>
      </w:r>
      <w:r w:rsidR="00233CAB">
        <w:rPr>
          <w:rFonts w:ascii="Times New Roman" w:hAnsi="Times New Roman" w:cs="Times New Roman"/>
          <w:sz w:val="28"/>
          <w:szCs w:val="28"/>
          <w:lang w:val="uk-UA" w:eastAsia="en-US"/>
        </w:rPr>
        <w:t xml:space="preserve"> рік</w:t>
      </w:r>
      <w:r w:rsidR="0048004C" w:rsidRPr="00812270">
        <w:rPr>
          <w:rFonts w:ascii="Times New Roman" w:hAnsi="Times New Roman" w:cs="Times New Roman"/>
          <w:sz w:val="28"/>
          <w:szCs w:val="28"/>
          <w:lang w:val="uk-UA" w:eastAsia="en-US"/>
        </w:rPr>
        <w:t xml:space="preserve">» </w:t>
      </w:r>
      <w:r w:rsidR="00657E83" w:rsidRPr="00812270">
        <w:rPr>
          <w:rFonts w:ascii="Times New Roman" w:hAnsi="Times New Roman" w:cs="Times New Roman"/>
          <w:sz w:val="28"/>
          <w:szCs w:val="28"/>
          <w:lang w:val="uk-UA"/>
        </w:rPr>
        <w:t xml:space="preserve">дозволить </w:t>
      </w:r>
      <w:r w:rsidR="0048004C" w:rsidRPr="00812270">
        <w:rPr>
          <w:rFonts w:ascii="Times New Roman" w:hAnsi="Times New Roman" w:cs="Times New Roman"/>
          <w:sz w:val="28"/>
          <w:szCs w:val="28"/>
          <w:lang w:val="uk-UA"/>
        </w:rPr>
        <w:t>проінформувати громадськість про хід виконання бюджету</w:t>
      </w:r>
      <w:r w:rsidR="00657E83" w:rsidRPr="00812270">
        <w:rPr>
          <w:rFonts w:ascii="Times New Roman" w:hAnsi="Times New Roman" w:cs="Times New Roman"/>
          <w:sz w:val="28"/>
          <w:szCs w:val="28"/>
          <w:lang w:val="uk-UA"/>
        </w:rPr>
        <w:t>.</w:t>
      </w:r>
    </w:p>
    <w:p w:rsidR="00551BC8" w:rsidRPr="00812270" w:rsidRDefault="00657E83" w:rsidP="00112DF9">
      <w:pPr>
        <w:pStyle w:val="10"/>
        <w:widowControl w:val="0"/>
        <w:pBdr>
          <w:top w:val="nil"/>
          <w:left w:val="nil"/>
          <w:bottom w:val="nil"/>
          <w:right w:val="nil"/>
          <w:between w:val="nil"/>
        </w:pBdr>
        <w:spacing w:line="240" w:lineRule="auto"/>
        <w:ind w:left="716"/>
        <w:jc w:val="center"/>
        <w:rPr>
          <w:rFonts w:ascii="Times New Roman" w:eastAsia="Times New Roman" w:hAnsi="Times New Roman" w:cs="Times New Roman"/>
          <w:b/>
          <w:color w:val="000000"/>
          <w:sz w:val="28"/>
          <w:szCs w:val="28"/>
          <w:lang w:val="uk-UA"/>
        </w:rPr>
      </w:pPr>
      <w:r w:rsidRPr="00812270">
        <w:rPr>
          <w:rFonts w:ascii="Times New Roman" w:eastAsia="Times New Roman" w:hAnsi="Times New Roman" w:cs="Times New Roman"/>
          <w:b/>
          <w:color w:val="000000"/>
          <w:sz w:val="28"/>
          <w:szCs w:val="28"/>
          <w:lang w:val="uk-UA"/>
        </w:rPr>
        <w:t>8</w:t>
      </w:r>
      <w:r w:rsidR="002763B0" w:rsidRPr="00812270">
        <w:rPr>
          <w:rFonts w:ascii="Times New Roman" w:eastAsia="Times New Roman" w:hAnsi="Times New Roman" w:cs="Times New Roman"/>
          <w:b/>
          <w:color w:val="000000"/>
          <w:sz w:val="28"/>
          <w:szCs w:val="28"/>
          <w:lang w:val="uk-UA"/>
        </w:rPr>
        <w:t>. Оприлюднення.</w:t>
      </w:r>
    </w:p>
    <w:p w:rsidR="00551BC8" w:rsidRPr="00812270" w:rsidRDefault="00112DF9" w:rsidP="002478EF">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8"/>
          <w:szCs w:val="28"/>
          <w:lang w:val="uk-UA"/>
        </w:rPr>
      </w:pPr>
      <w:r w:rsidRPr="00812270">
        <w:rPr>
          <w:rFonts w:ascii="Times New Roman" w:eastAsia="Times New Roman" w:hAnsi="Times New Roman" w:cs="Times New Roman"/>
          <w:color w:val="000000"/>
          <w:sz w:val="28"/>
          <w:szCs w:val="28"/>
          <w:lang w:val="uk-UA"/>
        </w:rPr>
        <w:t>Проє</w:t>
      </w:r>
      <w:r w:rsidR="002763B0" w:rsidRPr="00812270">
        <w:rPr>
          <w:rFonts w:ascii="Times New Roman" w:eastAsia="Times New Roman" w:hAnsi="Times New Roman" w:cs="Times New Roman"/>
          <w:color w:val="000000"/>
          <w:sz w:val="28"/>
          <w:szCs w:val="28"/>
          <w:lang w:val="uk-UA"/>
        </w:rPr>
        <w:t xml:space="preserve">кт рішення </w:t>
      </w:r>
      <w:r w:rsidR="0048004C" w:rsidRPr="00812270">
        <w:rPr>
          <w:rFonts w:ascii="Times New Roman" w:eastAsia="Times New Roman" w:hAnsi="Times New Roman" w:cs="Times New Roman"/>
          <w:color w:val="000000"/>
          <w:sz w:val="28"/>
          <w:szCs w:val="28"/>
          <w:lang w:val="uk-UA"/>
        </w:rPr>
        <w:t>«</w:t>
      </w:r>
      <w:r w:rsidR="002478EF" w:rsidRPr="00812270">
        <w:rPr>
          <w:rFonts w:ascii="Times New Roman" w:eastAsia="Times New Roman" w:hAnsi="Times New Roman" w:cs="Times New Roman"/>
          <w:color w:val="000000"/>
          <w:sz w:val="28"/>
          <w:szCs w:val="28"/>
          <w:lang w:val="uk-UA"/>
        </w:rPr>
        <w:t xml:space="preserve">Звіт про виконання  бюджету  Рогатинської  міської територіальної громади </w:t>
      </w:r>
      <w:r w:rsidR="001B4031" w:rsidRPr="00812270">
        <w:rPr>
          <w:rFonts w:ascii="Times New Roman" w:eastAsia="Times New Roman" w:hAnsi="Times New Roman" w:cs="Times New Roman"/>
          <w:color w:val="000000"/>
          <w:sz w:val="28"/>
          <w:szCs w:val="28"/>
          <w:lang w:val="uk-UA"/>
        </w:rPr>
        <w:t>за 2023</w:t>
      </w:r>
      <w:r w:rsidR="00233CAB">
        <w:rPr>
          <w:rFonts w:ascii="Times New Roman" w:eastAsia="Times New Roman" w:hAnsi="Times New Roman" w:cs="Times New Roman"/>
          <w:color w:val="000000"/>
          <w:sz w:val="28"/>
          <w:szCs w:val="28"/>
          <w:lang w:val="uk-UA"/>
        </w:rPr>
        <w:t xml:space="preserve"> рік</w:t>
      </w:r>
      <w:r w:rsidR="0048004C" w:rsidRPr="00812270">
        <w:rPr>
          <w:rFonts w:ascii="Times New Roman" w:eastAsia="Times New Roman" w:hAnsi="Times New Roman" w:cs="Times New Roman"/>
          <w:color w:val="000000"/>
          <w:sz w:val="28"/>
          <w:szCs w:val="28"/>
          <w:lang w:val="uk-UA"/>
        </w:rPr>
        <w:t>»</w:t>
      </w:r>
      <w:r w:rsidR="0017088A" w:rsidRPr="00812270">
        <w:rPr>
          <w:rFonts w:ascii="Times New Roman" w:eastAsia="Times New Roman" w:hAnsi="Times New Roman" w:cs="Times New Roman"/>
          <w:color w:val="000000"/>
          <w:sz w:val="28"/>
          <w:szCs w:val="28"/>
          <w:lang w:val="uk-UA"/>
        </w:rPr>
        <w:t xml:space="preserve"> оприлюднено </w:t>
      </w:r>
      <w:r w:rsidRPr="00812270">
        <w:rPr>
          <w:rFonts w:ascii="Times New Roman" w:eastAsia="Times New Roman" w:hAnsi="Times New Roman" w:cs="Times New Roman"/>
          <w:color w:val="000000"/>
          <w:sz w:val="28"/>
          <w:szCs w:val="28"/>
          <w:lang w:val="uk-UA"/>
        </w:rPr>
        <w:t xml:space="preserve">на офіційному сайті Рогатинської міської ради у розділі «Документи», </w:t>
      </w:r>
      <w:r w:rsidR="008E757B" w:rsidRPr="00812270">
        <w:rPr>
          <w:rFonts w:ascii="Times New Roman" w:eastAsia="Times New Roman" w:hAnsi="Times New Roman" w:cs="Times New Roman"/>
          <w:color w:val="000000"/>
          <w:sz w:val="28"/>
          <w:szCs w:val="28"/>
          <w:lang w:val="uk-UA"/>
        </w:rPr>
        <w:t>«Проєкт рішень виконконавчого комітету</w:t>
      </w:r>
      <w:r w:rsidRPr="00812270">
        <w:rPr>
          <w:rFonts w:ascii="Times New Roman" w:eastAsia="Times New Roman" w:hAnsi="Times New Roman" w:cs="Times New Roman"/>
          <w:color w:val="000000"/>
          <w:sz w:val="28"/>
          <w:szCs w:val="28"/>
          <w:lang w:val="uk-UA"/>
        </w:rPr>
        <w:t>»</w:t>
      </w:r>
      <w:r w:rsidR="002763B0" w:rsidRPr="00812270">
        <w:rPr>
          <w:rFonts w:ascii="Times New Roman" w:eastAsia="Times New Roman" w:hAnsi="Times New Roman" w:cs="Times New Roman"/>
          <w:color w:val="000000"/>
          <w:sz w:val="28"/>
          <w:szCs w:val="28"/>
          <w:lang w:val="uk-UA"/>
        </w:rPr>
        <w:t xml:space="preserve">.   </w:t>
      </w:r>
    </w:p>
    <w:p w:rsidR="00112DF9" w:rsidRDefault="002763B0"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8"/>
          <w:szCs w:val="28"/>
          <w:lang w:val="uk-UA"/>
        </w:rPr>
      </w:pPr>
      <w:r w:rsidRPr="00812270">
        <w:rPr>
          <w:rFonts w:ascii="Times New Roman" w:eastAsia="Times New Roman" w:hAnsi="Times New Roman" w:cs="Times New Roman"/>
          <w:color w:val="000000"/>
          <w:sz w:val="28"/>
          <w:szCs w:val="28"/>
          <w:lang w:val="uk-UA"/>
        </w:rPr>
        <w:t>Відповідальний за підготовку</w:t>
      </w:r>
      <w:r w:rsidR="00112DF9" w:rsidRPr="00812270">
        <w:rPr>
          <w:rFonts w:ascii="Times New Roman" w:eastAsia="Times New Roman" w:hAnsi="Times New Roman" w:cs="Times New Roman"/>
          <w:color w:val="000000"/>
          <w:sz w:val="28"/>
          <w:szCs w:val="28"/>
          <w:lang w:val="uk-UA"/>
        </w:rPr>
        <w:t xml:space="preserve"> Марія Гураль</w:t>
      </w:r>
    </w:p>
    <w:p w:rsidR="00233CAB" w:rsidRPr="00812270" w:rsidRDefault="00233CAB"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8"/>
          <w:szCs w:val="28"/>
          <w:lang w:val="uk-UA"/>
        </w:rPr>
      </w:pPr>
      <w:bookmarkStart w:id="0" w:name="_GoBack"/>
      <w:bookmarkEnd w:id="0"/>
    </w:p>
    <w:p w:rsidR="00112DF9" w:rsidRDefault="00112DF9"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27"/>
          <w:szCs w:val="27"/>
          <w:lang w:val="uk-UA"/>
        </w:rPr>
      </w:pPr>
      <w:r>
        <w:rPr>
          <w:rFonts w:ascii="Times New Roman" w:eastAsia="Times New Roman" w:hAnsi="Times New Roman" w:cs="Times New Roman"/>
          <w:color w:val="000000"/>
          <w:sz w:val="27"/>
          <w:szCs w:val="27"/>
          <w:lang w:val="uk-UA"/>
        </w:rPr>
        <w:t>_____________                 ________________</w:t>
      </w:r>
    </w:p>
    <w:p w:rsidR="002763B0" w:rsidRPr="00AF0381" w:rsidRDefault="002763B0" w:rsidP="002763B0">
      <w:pPr>
        <w:pStyle w:val="10"/>
        <w:widowControl w:val="0"/>
        <w:pBdr>
          <w:top w:val="nil"/>
          <w:left w:val="nil"/>
          <w:bottom w:val="nil"/>
          <w:right w:val="nil"/>
          <w:between w:val="nil"/>
        </w:pBdr>
        <w:spacing w:line="230" w:lineRule="auto"/>
        <w:ind w:right="-5" w:firstLine="712"/>
        <w:jc w:val="both"/>
        <w:rPr>
          <w:rFonts w:ascii="Times New Roman" w:eastAsia="Times New Roman" w:hAnsi="Times New Roman" w:cs="Times New Roman"/>
          <w:color w:val="000000"/>
          <w:sz w:val="16"/>
          <w:szCs w:val="16"/>
          <w:lang w:val="uk-UA"/>
        </w:rPr>
      </w:pPr>
      <w:r w:rsidRPr="00AF0381">
        <w:rPr>
          <w:rFonts w:ascii="Times New Roman" w:eastAsia="Times New Roman" w:hAnsi="Times New Roman" w:cs="Times New Roman"/>
          <w:color w:val="000000"/>
          <w:sz w:val="16"/>
          <w:szCs w:val="16"/>
          <w:lang w:val="uk-UA"/>
        </w:rPr>
        <w:t xml:space="preserve">Підпис                       </w:t>
      </w:r>
      <w:r w:rsidR="00AF0381">
        <w:rPr>
          <w:rFonts w:ascii="Times New Roman" w:eastAsia="Times New Roman" w:hAnsi="Times New Roman" w:cs="Times New Roman"/>
          <w:color w:val="000000"/>
          <w:sz w:val="16"/>
          <w:szCs w:val="16"/>
          <w:lang w:val="en-US"/>
        </w:rPr>
        <w:t xml:space="preserve">                                          </w:t>
      </w:r>
      <w:r w:rsidRPr="00AF0381">
        <w:rPr>
          <w:rFonts w:ascii="Times New Roman" w:eastAsia="Times New Roman" w:hAnsi="Times New Roman" w:cs="Times New Roman"/>
          <w:color w:val="000000"/>
          <w:sz w:val="16"/>
          <w:szCs w:val="16"/>
          <w:lang w:val="uk-UA"/>
        </w:rPr>
        <w:t xml:space="preserve">  </w:t>
      </w:r>
      <w:r w:rsidR="00112DF9" w:rsidRPr="00AF0381">
        <w:rPr>
          <w:rFonts w:ascii="Times New Roman" w:eastAsia="Times New Roman" w:hAnsi="Times New Roman" w:cs="Times New Roman"/>
          <w:color w:val="000000"/>
          <w:sz w:val="16"/>
          <w:szCs w:val="16"/>
          <w:lang w:val="uk-UA"/>
        </w:rPr>
        <w:t xml:space="preserve">                   </w:t>
      </w:r>
      <w:r w:rsidRPr="00AF0381">
        <w:rPr>
          <w:rFonts w:ascii="Times New Roman" w:eastAsia="Times New Roman" w:hAnsi="Times New Roman" w:cs="Times New Roman"/>
          <w:color w:val="000000"/>
          <w:sz w:val="16"/>
          <w:szCs w:val="16"/>
          <w:lang w:val="uk-UA"/>
        </w:rPr>
        <w:t>дата</w:t>
      </w:r>
    </w:p>
    <w:sectPr w:rsidR="002763B0" w:rsidRPr="00AF0381" w:rsidSect="00112DF9">
      <w:pgSz w:w="11900" w:h="16820"/>
      <w:pgMar w:top="850" w:right="850" w:bottom="850" w:left="1417"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D2" w:rsidRDefault="00FD4BD2" w:rsidP="00FB7701">
      <w:pPr>
        <w:spacing w:line="240" w:lineRule="auto"/>
      </w:pPr>
      <w:r>
        <w:separator/>
      </w:r>
    </w:p>
  </w:endnote>
  <w:endnote w:type="continuationSeparator" w:id="0">
    <w:p w:rsidR="00FD4BD2" w:rsidRDefault="00FD4BD2" w:rsidP="00FB7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D2" w:rsidRDefault="00FD4BD2" w:rsidP="00FB7701">
      <w:pPr>
        <w:spacing w:line="240" w:lineRule="auto"/>
      </w:pPr>
      <w:r>
        <w:separator/>
      </w:r>
    </w:p>
  </w:footnote>
  <w:footnote w:type="continuationSeparator" w:id="0">
    <w:p w:rsidR="00FD4BD2" w:rsidRDefault="00FD4BD2" w:rsidP="00FB77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6054"/>
    <w:multiLevelType w:val="hybridMultilevel"/>
    <w:tmpl w:val="AC48B1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EB7FD1"/>
    <w:multiLevelType w:val="hybridMultilevel"/>
    <w:tmpl w:val="6C4E5C3C"/>
    <w:lvl w:ilvl="0" w:tplc="123A9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D3E0C"/>
    <w:multiLevelType w:val="hybridMultilevel"/>
    <w:tmpl w:val="5B86B33C"/>
    <w:lvl w:ilvl="0" w:tplc="7354C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26309"/>
    <w:multiLevelType w:val="hybridMultilevel"/>
    <w:tmpl w:val="0146537A"/>
    <w:lvl w:ilvl="0" w:tplc="7F5C6B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CA21A41"/>
    <w:multiLevelType w:val="multilevel"/>
    <w:tmpl w:val="AEE87D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C8"/>
    <w:rsid w:val="00002240"/>
    <w:rsid w:val="00032B27"/>
    <w:rsid w:val="0003445E"/>
    <w:rsid w:val="00034B8F"/>
    <w:rsid w:val="0006009C"/>
    <w:rsid w:val="00070291"/>
    <w:rsid w:val="00092FF7"/>
    <w:rsid w:val="000A0487"/>
    <w:rsid w:val="000B5BD4"/>
    <w:rsid w:val="000C59E4"/>
    <w:rsid w:val="00112DF9"/>
    <w:rsid w:val="00132F34"/>
    <w:rsid w:val="001571D3"/>
    <w:rsid w:val="001634B8"/>
    <w:rsid w:val="0017088A"/>
    <w:rsid w:val="00175E70"/>
    <w:rsid w:val="00195CF2"/>
    <w:rsid w:val="001B0356"/>
    <w:rsid w:val="001B4031"/>
    <w:rsid w:val="001E0985"/>
    <w:rsid w:val="00200ABF"/>
    <w:rsid w:val="002252F8"/>
    <w:rsid w:val="00232B9E"/>
    <w:rsid w:val="00233CAB"/>
    <w:rsid w:val="00242025"/>
    <w:rsid w:val="002478EF"/>
    <w:rsid w:val="002570B4"/>
    <w:rsid w:val="00276129"/>
    <w:rsid w:val="002763B0"/>
    <w:rsid w:val="00296069"/>
    <w:rsid w:val="002A53FD"/>
    <w:rsid w:val="002B2D96"/>
    <w:rsid w:val="002C5009"/>
    <w:rsid w:val="002C7687"/>
    <w:rsid w:val="002F5B78"/>
    <w:rsid w:val="003024C6"/>
    <w:rsid w:val="003127B7"/>
    <w:rsid w:val="00314042"/>
    <w:rsid w:val="003217C5"/>
    <w:rsid w:val="00331AD8"/>
    <w:rsid w:val="00334556"/>
    <w:rsid w:val="00336673"/>
    <w:rsid w:val="0034157A"/>
    <w:rsid w:val="00347FF7"/>
    <w:rsid w:val="00362A5D"/>
    <w:rsid w:val="003A7BBD"/>
    <w:rsid w:val="003B20AC"/>
    <w:rsid w:val="003F66F7"/>
    <w:rsid w:val="003F74BA"/>
    <w:rsid w:val="004041BC"/>
    <w:rsid w:val="00412287"/>
    <w:rsid w:val="004124E9"/>
    <w:rsid w:val="004147CC"/>
    <w:rsid w:val="004164F3"/>
    <w:rsid w:val="00426A01"/>
    <w:rsid w:val="00432FBE"/>
    <w:rsid w:val="00433155"/>
    <w:rsid w:val="00464FB8"/>
    <w:rsid w:val="0046649F"/>
    <w:rsid w:val="0048004C"/>
    <w:rsid w:val="004C7D0F"/>
    <w:rsid w:val="0053558C"/>
    <w:rsid w:val="00551BC8"/>
    <w:rsid w:val="0056668F"/>
    <w:rsid w:val="005859CC"/>
    <w:rsid w:val="005B1FBE"/>
    <w:rsid w:val="005B21AB"/>
    <w:rsid w:val="005D39EC"/>
    <w:rsid w:val="005D4675"/>
    <w:rsid w:val="005E4B9F"/>
    <w:rsid w:val="005E6F25"/>
    <w:rsid w:val="00611CAC"/>
    <w:rsid w:val="00617559"/>
    <w:rsid w:val="00627491"/>
    <w:rsid w:val="00657E83"/>
    <w:rsid w:val="00663C03"/>
    <w:rsid w:val="006729A9"/>
    <w:rsid w:val="0069268E"/>
    <w:rsid w:val="006C357E"/>
    <w:rsid w:val="006C786F"/>
    <w:rsid w:val="006E7694"/>
    <w:rsid w:val="0071146C"/>
    <w:rsid w:val="00715F58"/>
    <w:rsid w:val="00732A07"/>
    <w:rsid w:val="00752A3B"/>
    <w:rsid w:val="00756AE6"/>
    <w:rsid w:val="007726F8"/>
    <w:rsid w:val="007A4C2A"/>
    <w:rsid w:val="007A5E30"/>
    <w:rsid w:val="007B106E"/>
    <w:rsid w:val="007B3D99"/>
    <w:rsid w:val="007C3AB7"/>
    <w:rsid w:val="008121A0"/>
    <w:rsid w:val="00812270"/>
    <w:rsid w:val="008154A4"/>
    <w:rsid w:val="00816FD0"/>
    <w:rsid w:val="008359C7"/>
    <w:rsid w:val="00845F31"/>
    <w:rsid w:val="00855958"/>
    <w:rsid w:val="00857763"/>
    <w:rsid w:val="008611C6"/>
    <w:rsid w:val="00863771"/>
    <w:rsid w:val="00882DFF"/>
    <w:rsid w:val="00890085"/>
    <w:rsid w:val="008B23D3"/>
    <w:rsid w:val="008C44CF"/>
    <w:rsid w:val="008E33A2"/>
    <w:rsid w:val="008E757B"/>
    <w:rsid w:val="008F2FE0"/>
    <w:rsid w:val="008F6A31"/>
    <w:rsid w:val="00900A33"/>
    <w:rsid w:val="00901393"/>
    <w:rsid w:val="00931BF8"/>
    <w:rsid w:val="00936A6C"/>
    <w:rsid w:val="0093725F"/>
    <w:rsid w:val="00937E02"/>
    <w:rsid w:val="009419FA"/>
    <w:rsid w:val="0095027C"/>
    <w:rsid w:val="0095144D"/>
    <w:rsid w:val="00954008"/>
    <w:rsid w:val="00960D5F"/>
    <w:rsid w:val="009653AA"/>
    <w:rsid w:val="00984A64"/>
    <w:rsid w:val="009921FD"/>
    <w:rsid w:val="00994C09"/>
    <w:rsid w:val="009A047F"/>
    <w:rsid w:val="009B71E4"/>
    <w:rsid w:val="009E782C"/>
    <w:rsid w:val="009F0ACB"/>
    <w:rsid w:val="00A0333F"/>
    <w:rsid w:val="00A37CF8"/>
    <w:rsid w:val="00A417AB"/>
    <w:rsid w:val="00A435EF"/>
    <w:rsid w:val="00A436F2"/>
    <w:rsid w:val="00A43A57"/>
    <w:rsid w:val="00A52306"/>
    <w:rsid w:val="00A63952"/>
    <w:rsid w:val="00A74D45"/>
    <w:rsid w:val="00A8538B"/>
    <w:rsid w:val="00AA00C4"/>
    <w:rsid w:val="00AA046D"/>
    <w:rsid w:val="00AA0962"/>
    <w:rsid w:val="00AA2798"/>
    <w:rsid w:val="00AD6DD6"/>
    <w:rsid w:val="00AE2351"/>
    <w:rsid w:val="00AF0381"/>
    <w:rsid w:val="00AF71C6"/>
    <w:rsid w:val="00AF7717"/>
    <w:rsid w:val="00B212CA"/>
    <w:rsid w:val="00B305DB"/>
    <w:rsid w:val="00B37A3B"/>
    <w:rsid w:val="00B75822"/>
    <w:rsid w:val="00B8559B"/>
    <w:rsid w:val="00B85A8D"/>
    <w:rsid w:val="00B95C84"/>
    <w:rsid w:val="00BB4475"/>
    <w:rsid w:val="00BB6314"/>
    <w:rsid w:val="00BB66A9"/>
    <w:rsid w:val="00BF5285"/>
    <w:rsid w:val="00C07F4D"/>
    <w:rsid w:val="00C14E76"/>
    <w:rsid w:val="00C27DDB"/>
    <w:rsid w:val="00C317E1"/>
    <w:rsid w:val="00C53846"/>
    <w:rsid w:val="00C9017E"/>
    <w:rsid w:val="00CC04C9"/>
    <w:rsid w:val="00CC4AE7"/>
    <w:rsid w:val="00CE4FED"/>
    <w:rsid w:val="00CE6EA2"/>
    <w:rsid w:val="00CF54DB"/>
    <w:rsid w:val="00D31BB1"/>
    <w:rsid w:val="00D31EDE"/>
    <w:rsid w:val="00D6625D"/>
    <w:rsid w:val="00D83505"/>
    <w:rsid w:val="00D85B51"/>
    <w:rsid w:val="00D91222"/>
    <w:rsid w:val="00DA0AAA"/>
    <w:rsid w:val="00DA637E"/>
    <w:rsid w:val="00DC450B"/>
    <w:rsid w:val="00DD7D20"/>
    <w:rsid w:val="00DE7B9B"/>
    <w:rsid w:val="00E62F78"/>
    <w:rsid w:val="00EA6D5E"/>
    <w:rsid w:val="00EA75A4"/>
    <w:rsid w:val="00EC7ACC"/>
    <w:rsid w:val="00EF4E0B"/>
    <w:rsid w:val="00F14FE6"/>
    <w:rsid w:val="00F3245A"/>
    <w:rsid w:val="00F422E2"/>
    <w:rsid w:val="00F54F4D"/>
    <w:rsid w:val="00F56980"/>
    <w:rsid w:val="00F73120"/>
    <w:rsid w:val="00F742EB"/>
    <w:rsid w:val="00F81D3E"/>
    <w:rsid w:val="00F84718"/>
    <w:rsid w:val="00F91140"/>
    <w:rsid w:val="00F95E16"/>
    <w:rsid w:val="00FB7701"/>
    <w:rsid w:val="00FD4BD2"/>
    <w:rsid w:val="00FE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5FA1"/>
  <w15:docId w15:val="{93697E8C-C7E6-4F5A-8BD7-EFD371E7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551BC8"/>
    <w:pPr>
      <w:keepNext/>
      <w:keepLines/>
      <w:spacing w:before="480" w:after="120"/>
      <w:outlineLvl w:val="0"/>
    </w:pPr>
    <w:rPr>
      <w:b/>
      <w:sz w:val="48"/>
      <w:szCs w:val="48"/>
    </w:rPr>
  </w:style>
  <w:style w:type="paragraph" w:styleId="2">
    <w:name w:val="heading 2"/>
    <w:basedOn w:val="10"/>
    <w:next w:val="10"/>
    <w:rsid w:val="00551BC8"/>
    <w:pPr>
      <w:keepNext/>
      <w:keepLines/>
      <w:spacing w:before="360" w:after="80"/>
      <w:outlineLvl w:val="1"/>
    </w:pPr>
    <w:rPr>
      <w:b/>
      <w:sz w:val="36"/>
      <w:szCs w:val="36"/>
    </w:rPr>
  </w:style>
  <w:style w:type="paragraph" w:styleId="3">
    <w:name w:val="heading 3"/>
    <w:basedOn w:val="10"/>
    <w:next w:val="10"/>
    <w:rsid w:val="00551BC8"/>
    <w:pPr>
      <w:keepNext/>
      <w:keepLines/>
      <w:spacing w:before="280" w:after="80"/>
      <w:outlineLvl w:val="2"/>
    </w:pPr>
    <w:rPr>
      <w:b/>
      <w:sz w:val="28"/>
      <w:szCs w:val="28"/>
    </w:rPr>
  </w:style>
  <w:style w:type="paragraph" w:styleId="4">
    <w:name w:val="heading 4"/>
    <w:basedOn w:val="10"/>
    <w:next w:val="10"/>
    <w:rsid w:val="00551BC8"/>
    <w:pPr>
      <w:keepNext/>
      <w:keepLines/>
      <w:spacing w:before="240" w:after="40"/>
      <w:outlineLvl w:val="3"/>
    </w:pPr>
    <w:rPr>
      <w:b/>
      <w:sz w:val="24"/>
      <w:szCs w:val="24"/>
    </w:rPr>
  </w:style>
  <w:style w:type="paragraph" w:styleId="5">
    <w:name w:val="heading 5"/>
    <w:basedOn w:val="10"/>
    <w:next w:val="10"/>
    <w:rsid w:val="00551BC8"/>
    <w:pPr>
      <w:keepNext/>
      <w:keepLines/>
      <w:spacing w:before="220" w:after="40"/>
      <w:outlineLvl w:val="4"/>
    </w:pPr>
    <w:rPr>
      <w:b/>
    </w:rPr>
  </w:style>
  <w:style w:type="paragraph" w:styleId="6">
    <w:name w:val="heading 6"/>
    <w:basedOn w:val="10"/>
    <w:next w:val="10"/>
    <w:rsid w:val="00551BC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51BC8"/>
  </w:style>
  <w:style w:type="table" w:customStyle="1" w:styleId="TableNormal">
    <w:name w:val="Table Normal"/>
    <w:rsid w:val="00551BC8"/>
    <w:tblPr>
      <w:tblCellMar>
        <w:top w:w="0" w:type="dxa"/>
        <w:left w:w="0" w:type="dxa"/>
        <w:bottom w:w="0" w:type="dxa"/>
        <w:right w:w="0" w:type="dxa"/>
      </w:tblCellMar>
    </w:tblPr>
  </w:style>
  <w:style w:type="paragraph" w:styleId="a3">
    <w:name w:val="Title"/>
    <w:basedOn w:val="10"/>
    <w:next w:val="10"/>
    <w:rsid w:val="00551BC8"/>
    <w:pPr>
      <w:keepNext/>
      <w:keepLines/>
      <w:spacing w:before="480" w:after="120"/>
    </w:pPr>
    <w:rPr>
      <w:b/>
      <w:sz w:val="72"/>
      <w:szCs w:val="72"/>
    </w:rPr>
  </w:style>
  <w:style w:type="paragraph" w:styleId="a4">
    <w:name w:val="Subtitle"/>
    <w:basedOn w:val="10"/>
    <w:next w:val="10"/>
    <w:rsid w:val="00551BC8"/>
    <w:pPr>
      <w:keepNext/>
      <w:keepLines/>
      <w:spacing w:before="360" w:after="80"/>
    </w:pPr>
    <w:rPr>
      <w:rFonts w:ascii="Georgia" w:eastAsia="Georgia" w:hAnsi="Georgia" w:cs="Georgia"/>
      <w:i/>
      <w:color w:val="666666"/>
      <w:sz w:val="48"/>
      <w:szCs w:val="48"/>
    </w:rPr>
  </w:style>
  <w:style w:type="paragraph" w:styleId="a5">
    <w:name w:val="List Paragraph"/>
    <w:basedOn w:val="a"/>
    <w:uiPriority w:val="99"/>
    <w:qFormat/>
    <w:rsid w:val="00D6625D"/>
    <w:pPr>
      <w:spacing w:after="200"/>
      <w:ind w:left="720"/>
      <w:contextualSpacing/>
    </w:pPr>
    <w:rPr>
      <w:rFonts w:asciiTheme="minorHAnsi" w:eastAsiaTheme="minorEastAsia" w:hAnsiTheme="minorHAnsi" w:cstheme="minorBidi"/>
      <w:lang w:val="uk-UA" w:eastAsia="uk-UA"/>
    </w:rPr>
  </w:style>
  <w:style w:type="paragraph" w:customStyle="1" w:styleId="tj">
    <w:name w:val="tj"/>
    <w:basedOn w:val="a"/>
    <w:rsid w:val="000B5BD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ard-blue-color">
    <w:name w:val="hard-blue-color"/>
    <w:basedOn w:val="a0"/>
    <w:rsid w:val="000B5BD4"/>
  </w:style>
  <w:style w:type="character" w:styleId="a6">
    <w:name w:val="Strong"/>
    <w:qFormat/>
    <w:rsid w:val="005859CC"/>
    <w:rPr>
      <w:b/>
      <w:bCs/>
    </w:rPr>
  </w:style>
  <w:style w:type="paragraph" w:styleId="a7">
    <w:name w:val="header"/>
    <w:basedOn w:val="a"/>
    <w:link w:val="a8"/>
    <w:uiPriority w:val="99"/>
    <w:unhideWhenUsed/>
    <w:rsid w:val="00FB7701"/>
    <w:pPr>
      <w:tabs>
        <w:tab w:val="center" w:pos="4844"/>
        <w:tab w:val="right" w:pos="9689"/>
      </w:tabs>
      <w:spacing w:line="240" w:lineRule="auto"/>
    </w:pPr>
  </w:style>
  <w:style w:type="character" w:customStyle="1" w:styleId="a8">
    <w:name w:val="Верхний колонтитул Знак"/>
    <w:basedOn w:val="a0"/>
    <w:link w:val="a7"/>
    <w:uiPriority w:val="99"/>
    <w:rsid w:val="00FB7701"/>
  </w:style>
  <w:style w:type="paragraph" w:styleId="a9">
    <w:name w:val="footer"/>
    <w:basedOn w:val="a"/>
    <w:link w:val="aa"/>
    <w:uiPriority w:val="99"/>
    <w:unhideWhenUsed/>
    <w:rsid w:val="00FB7701"/>
    <w:pPr>
      <w:tabs>
        <w:tab w:val="center" w:pos="4844"/>
        <w:tab w:val="right" w:pos="9689"/>
      </w:tabs>
      <w:spacing w:line="240" w:lineRule="auto"/>
    </w:pPr>
  </w:style>
  <w:style w:type="character" w:customStyle="1" w:styleId="aa">
    <w:name w:val="Нижний колонтитул Знак"/>
    <w:basedOn w:val="a0"/>
    <w:link w:val="a9"/>
    <w:uiPriority w:val="99"/>
    <w:rsid w:val="00FB7701"/>
  </w:style>
  <w:style w:type="paragraph" w:styleId="ab">
    <w:name w:val="Balloon Text"/>
    <w:basedOn w:val="a"/>
    <w:link w:val="ac"/>
    <w:uiPriority w:val="99"/>
    <w:semiHidden/>
    <w:unhideWhenUsed/>
    <w:rsid w:val="007B106E"/>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B1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1967">
      <w:bodyDiv w:val="1"/>
      <w:marLeft w:val="0"/>
      <w:marRight w:val="0"/>
      <w:marTop w:val="0"/>
      <w:marBottom w:val="0"/>
      <w:divBdr>
        <w:top w:val="none" w:sz="0" w:space="0" w:color="auto"/>
        <w:left w:val="none" w:sz="0" w:space="0" w:color="auto"/>
        <w:bottom w:val="none" w:sz="0" w:space="0" w:color="auto"/>
        <w:right w:val="none" w:sz="0" w:space="0" w:color="auto"/>
      </w:divBdr>
    </w:div>
    <w:div w:id="62802267">
      <w:bodyDiv w:val="1"/>
      <w:marLeft w:val="0"/>
      <w:marRight w:val="0"/>
      <w:marTop w:val="0"/>
      <w:marBottom w:val="0"/>
      <w:divBdr>
        <w:top w:val="none" w:sz="0" w:space="0" w:color="auto"/>
        <w:left w:val="none" w:sz="0" w:space="0" w:color="auto"/>
        <w:bottom w:val="none" w:sz="0" w:space="0" w:color="auto"/>
        <w:right w:val="none" w:sz="0" w:space="0" w:color="auto"/>
      </w:divBdr>
      <w:divsChild>
        <w:div w:id="2027555829">
          <w:marLeft w:val="0"/>
          <w:marRight w:val="0"/>
          <w:marTop w:val="0"/>
          <w:marBottom w:val="0"/>
          <w:divBdr>
            <w:top w:val="none" w:sz="0" w:space="0" w:color="auto"/>
            <w:left w:val="none" w:sz="0" w:space="0" w:color="auto"/>
            <w:bottom w:val="none" w:sz="0" w:space="0" w:color="auto"/>
            <w:right w:val="none" w:sz="0" w:space="0" w:color="auto"/>
          </w:divBdr>
        </w:div>
        <w:div w:id="1150054011">
          <w:marLeft w:val="0"/>
          <w:marRight w:val="0"/>
          <w:marTop w:val="0"/>
          <w:marBottom w:val="0"/>
          <w:divBdr>
            <w:top w:val="none" w:sz="0" w:space="0" w:color="auto"/>
            <w:left w:val="none" w:sz="0" w:space="0" w:color="auto"/>
            <w:bottom w:val="none" w:sz="0" w:space="0" w:color="auto"/>
            <w:right w:val="none" w:sz="0" w:space="0" w:color="auto"/>
          </w:divBdr>
        </w:div>
      </w:divsChild>
    </w:div>
    <w:div w:id="665864455">
      <w:bodyDiv w:val="1"/>
      <w:marLeft w:val="0"/>
      <w:marRight w:val="0"/>
      <w:marTop w:val="0"/>
      <w:marBottom w:val="0"/>
      <w:divBdr>
        <w:top w:val="none" w:sz="0" w:space="0" w:color="auto"/>
        <w:left w:val="none" w:sz="0" w:space="0" w:color="auto"/>
        <w:bottom w:val="none" w:sz="0" w:space="0" w:color="auto"/>
        <w:right w:val="none" w:sz="0" w:space="0" w:color="auto"/>
      </w:divBdr>
    </w:div>
    <w:div w:id="684211105">
      <w:bodyDiv w:val="1"/>
      <w:marLeft w:val="0"/>
      <w:marRight w:val="0"/>
      <w:marTop w:val="0"/>
      <w:marBottom w:val="0"/>
      <w:divBdr>
        <w:top w:val="none" w:sz="0" w:space="0" w:color="auto"/>
        <w:left w:val="none" w:sz="0" w:space="0" w:color="auto"/>
        <w:bottom w:val="none" w:sz="0" w:space="0" w:color="auto"/>
        <w:right w:val="none" w:sz="0" w:space="0" w:color="auto"/>
      </w:divBdr>
    </w:div>
    <w:div w:id="688676495">
      <w:bodyDiv w:val="1"/>
      <w:marLeft w:val="0"/>
      <w:marRight w:val="0"/>
      <w:marTop w:val="0"/>
      <w:marBottom w:val="0"/>
      <w:divBdr>
        <w:top w:val="none" w:sz="0" w:space="0" w:color="auto"/>
        <w:left w:val="none" w:sz="0" w:space="0" w:color="auto"/>
        <w:bottom w:val="none" w:sz="0" w:space="0" w:color="auto"/>
        <w:right w:val="none" w:sz="0" w:space="0" w:color="auto"/>
      </w:divBdr>
    </w:div>
    <w:div w:id="1076973472">
      <w:bodyDiv w:val="1"/>
      <w:marLeft w:val="0"/>
      <w:marRight w:val="0"/>
      <w:marTop w:val="0"/>
      <w:marBottom w:val="0"/>
      <w:divBdr>
        <w:top w:val="none" w:sz="0" w:space="0" w:color="auto"/>
        <w:left w:val="none" w:sz="0" w:space="0" w:color="auto"/>
        <w:bottom w:val="none" w:sz="0" w:space="0" w:color="auto"/>
        <w:right w:val="none" w:sz="0" w:space="0" w:color="auto"/>
      </w:divBdr>
    </w:div>
    <w:div w:id="1327124540">
      <w:bodyDiv w:val="1"/>
      <w:marLeft w:val="0"/>
      <w:marRight w:val="0"/>
      <w:marTop w:val="0"/>
      <w:marBottom w:val="0"/>
      <w:divBdr>
        <w:top w:val="none" w:sz="0" w:space="0" w:color="auto"/>
        <w:left w:val="none" w:sz="0" w:space="0" w:color="auto"/>
        <w:bottom w:val="none" w:sz="0" w:space="0" w:color="auto"/>
        <w:right w:val="none" w:sz="0" w:space="0" w:color="auto"/>
      </w:divBdr>
    </w:div>
    <w:div w:id="1334451429">
      <w:bodyDiv w:val="1"/>
      <w:marLeft w:val="0"/>
      <w:marRight w:val="0"/>
      <w:marTop w:val="0"/>
      <w:marBottom w:val="0"/>
      <w:divBdr>
        <w:top w:val="none" w:sz="0" w:space="0" w:color="auto"/>
        <w:left w:val="none" w:sz="0" w:space="0" w:color="auto"/>
        <w:bottom w:val="none" w:sz="0" w:space="0" w:color="auto"/>
        <w:right w:val="none" w:sz="0" w:space="0" w:color="auto"/>
      </w:divBdr>
    </w:div>
    <w:div w:id="1355301253">
      <w:bodyDiv w:val="1"/>
      <w:marLeft w:val="0"/>
      <w:marRight w:val="0"/>
      <w:marTop w:val="0"/>
      <w:marBottom w:val="0"/>
      <w:divBdr>
        <w:top w:val="none" w:sz="0" w:space="0" w:color="auto"/>
        <w:left w:val="none" w:sz="0" w:space="0" w:color="auto"/>
        <w:bottom w:val="none" w:sz="0" w:space="0" w:color="auto"/>
        <w:right w:val="none" w:sz="0" w:space="0" w:color="auto"/>
      </w:divBdr>
    </w:div>
    <w:div w:id="1485049539">
      <w:bodyDiv w:val="1"/>
      <w:marLeft w:val="0"/>
      <w:marRight w:val="0"/>
      <w:marTop w:val="0"/>
      <w:marBottom w:val="0"/>
      <w:divBdr>
        <w:top w:val="none" w:sz="0" w:space="0" w:color="auto"/>
        <w:left w:val="none" w:sz="0" w:space="0" w:color="auto"/>
        <w:bottom w:val="none" w:sz="0" w:space="0" w:color="auto"/>
        <w:right w:val="none" w:sz="0" w:space="0" w:color="auto"/>
      </w:divBdr>
    </w:div>
    <w:div w:id="1517041441">
      <w:bodyDiv w:val="1"/>
      <w:marLeft w:val="0"/>
      <w:marRight w:val="0"/>
      <w:marTop w:val="0"/>
      <w:marBottom w:val="0"/>
      <w:divBdr>
        <w:top w:val="none" w:sz="0" w:space="0" w:color="auto"/>
        <w:left w:val="none" w:sz="0" w:space="0" w:color="auto"/>
        <w:bottom w:val="none" w:sz="0" w:space="0" w:color="auto"/>
        <w:right w:val="none" w:sz="0" w:space="0" w:color="auto"/>
      </w:divBdr>
    </w:div>
    <w:div w:id="1609581731">
      <w:bodyDiv w:val="1"/>
      <w:marLeft w:val="0"/>
      <w:marRight w:val="0"/>
      <w:marTop w:val="0"/>
      <w:marBottom w:val="0"/>
      <w:divBdr>
        <w:top w:val="none" w:sz="0" w:space="0" w:color="auto"/>
        <w:left w:val="none" w:sz="0" w:space="0" w:color="auto"/>
        <w:bottom w:val="none" w:sz="0" w:space="0" w:color="auto"/>
        <w:right w:val="none" w:sz="0" w:space="0" w:color="auto"/>
      </w:divBdr>
    </w:div>
    <w:div w:id="1615479176">
      <w:bodyDiv w:val="1"/>
      <w:marLeft w:val="0"/>
      <w:marRight w:val="0"/>
      <w:marTop w:val="0"/>
      <w:marBottom w:val="0"/>
      <w:divBdr>
        <w:top w:val="none" w:sz="0" w:space="0" w:color="auto"/>
        <w:left w:val="none" w:sz="0" w:space="0" w:color="auto"/>
        <w:bottom w:val="none" w:sz="0" w:space="0" w:color="auto"/>
        <w:right w:val="none" w:sz="0" w:space="0" w:color="auto"/>
      </w:divBdr>
    </w:div>
    <w:div w:id="1707365354">
      <w:bodyDiv w:val="1"/>
      <w:marLeft w:val="0"/>
      <w:marRight w:val="0"/>
      <w:marTop w:val="0"/>
      <w:marBottom w:val="0"/>
      <w:divBdr>
        <w:top w:val="none" w:sz="0" w:space="0" w:color="auto"/>
        <w:left w:val="none" w:sz="0" w:space="0" w:color="auto"/>
        <w:bottom w:val="none" w:sz="0" w:space="0" w:color="auto"/>
        <w:right w:val="none" w:sz="0" w:space="0" w:color="auto"/>
      </w:divBdr>
    </w:div>
    <w:div w:id="1800488255">
      <w:bodyDiv w:val="1"/>
      <w:marLeft w:val="0"/>
      <w:marRight w:val="0"/>
      <w:marTop w:val="0"/>
      <w:marBottom w:val="0"/>
      <w:divBdr>
        <w:top w:val="none" w:sz="0" w:space="0" w:color="auto"/>
        <w:left w:val="none" w:sz="0" w:space="0" w:color="auto"/>
        <w:bottom w:val="none" w:sz="0" w:space="0" w:color="auto"/>
        <w:right w:val="none" w:sz="0" w:space="0" w:color="auto"/>
      </w:divBdr>
    </w:div>
    <w:div w:id="1953826908">
      <w:bodyDiv w:val="1"/>
      <w:marLeft w:val="0"/>
      <w:marRight w:val="0"/>
      <w:marTop w:val="0"/>
      <w:marBottom w:val="0"/>
      <w:divBdr>
        <w:top w:val="none" w:sz="0" w:space="0" w:color="auto"/>
        <w:left w:val="none" w:sz="0" w:space="0" w:color="auto"/>
        <w:bottom w:val="none" w:sz="0" w:space="0" w:color="auto"/>
        <w:right w:val="none" w:sz="0" w:space="0" w:color="auto"/>
      </w:divBdr>
    </w:div>
    <w:div w:id="204035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86;&#1073;&#1086;&#1095;&#1080;&#1081;%20&#1089;&#1090;&#1110;&#1083;\&#1044;&#1054;&#1050;&#1059;&#1052;&#1045;&#1053;&#1058;&#1048;\&#1054;&#1055;&#1045;&#1056;&#1040;&#1058;&#1048;&#1042;&#1053;&#1040;%20&#1044;&#1054;%20&#1041;&#1070;&#1044;&#1046;&#1045;&#1058;&#1059;%20&#8211;%20&#1082;&#1086;&#1087;&#1110;&#1103;%20&#8211;%20&#1082;&#1086;&#1087;&#111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0.14198802945417885"/>
          <c:y val="0.19929177347851831"/>
          <c:w val="0.51173224905605663"/>
          <c:h val="0.7440585826771654"/>
        </c:manualLayout>
      </c:layout>
      <c:pieChart>
        <c:varyColors val="1"/>
        <c:ser>
          <c:idx val="0"/>
          <c:order val="0"/>
          <c:tx>
            <c:strRef>
              <c:f>'[ОПЕРАТИВНА ДО БЮДЖЕТУ – копія – копія.xlsx]Лист1'!$A$29</c:f>
              <c:strCache>
                <c:ptCount val="1"/>
                <c:pt idx="0">
                  <c:v>Структура доходів загального фонду (без трансфертів)</c:v>
                </c:pt>
              </c:strCache>
            </c:strRef>
          </c:tx>
          <c:explosion val="11"/>
          <c:dPt>
            <c:idx val="0"/>
            <c:bubble3D val="0"/>
            <c:extLst>
              <c:ext xmlns:c16="http://schemas.microsoft.com/office/drawing/2014/chart" uri="{C3380CC4-5D6E-409C-BE32-E72D297353CC}">
                <c16:uniqueId val="{00000000-CA84-49C3-9DC8-580C75C746F9}"/>
              </c:ext>
            </c:extLst>
          </c:dPt>
          <c:dLbls>
            <c:dLbl>
              <c:idx val="0"/>
              <c:layout>
                <c:manualLayout>
                  <c:x val="1.2965964343598054E-2"/>
                  <c:y val="8.917194470737592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A84-49C3-9DC8-580C75C746F9}"/>
                </c:ext>
              </c:extLst>
            </c:dLbl>
            <c:dLbl>
              <c:idx val="1"/>
              <c:layout>
                <c:manualLayout>
                  <c:x val="-6.6990815775256618E-2"/>
                  <c:y val="5.9447963138250619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84-49C3-9DC8-580C75C746F9}"/>
                </c:ext>
              </c:extLst>
            </c:dLbl>
            <c:dLbl>
              <c:idx val="2"/>
              <c:layout>
                <c:manualLayout>
                  <c:x val="-4.5380875202593214E-2"/>
                  <c:y val="-2.547769848782177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A84-49C3-9DC8-580C75C746F9}"/>
                </c:ext>
              </c:extLst>
            </c:dLbl>
            <c:dLbl>
              <c:idx val="3"/>
              <c:layout>
                <c:manualLayout>
                  <c:x val="-2.3770934629929769E-2"/>
                  <c:y val="-4.670911389433977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84-49C3-9DC8-580C75C746F9}"/>
                </c:ext>
              </c:extLst>
            </c:dLbl>
            <c:dLbl>
              <c:idx val="4"/>
              <c:layout>
                <c:manualLayout>
                  <c:x val="-3.2414910858995137E-2"/>
                  <c:y val="-5.944796313825061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A84-49C3-9DC8-580C75C746F9}"/>
                </c:ext>
              </c:extLst>
            </c:dLbl>
            <c:dLbl>
              <c:idx val="5"/>
              <c:layout>
                <c:manualLayout>
                  <c:x val="3.2414910858995061E-2"/>
                  <c:y val="-2.97239815691253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84-49C3-9DC8-580C75C746F9}"/>
                </c:ext>
              </c:extLst>
            </c:dLbl>
            <c:numFmt formatCode="0.0%" sourceLinked="0"/>
            <c:spPr>
              <a:no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a:effectLst/>
            </c:spPr>
            <c:dLblPos val="outEnd"/>
            <c:showLegendKey val="0"/>
            <c:showVal val="1"/>
            <c:showCatName val="0"/>
            <c:showSerName val="0"/>
            <c:showPercent val="1"/>
            <c:showBubbleSize val="0"/>
            <c:showLeaderLines val="1"/>
            <c:extLst>
              <c:ext xmlns:c15="http://schemas.microsoft.com/office/drawing/2012/chart" uri="{CE6537A1-D6FC-4f65-9D91-7224C49458BB}"/>
            </c:extLst>
          </c:dLbls>
          <c:cat>
            <c:strRef>
              <c:f>'[ОПЕРАТИВНА ДО БЮДЖЕТУ – копія – копія.xlsx]Лист1'!$A$30:$A$35</c:f>
              <c:strCache>
                <c:ptCount val="6"/>
                <c:pt idx="0">
                  <c:v>податок на доходи фізичних осіб</c:v>
                </c:pt>
                <c:pt idx="1">
                  <c:v>внутрішні податки на товари та послуги</c:v>
                </c:pt>
                <c:pt idx="2">
                  <c:v>плата за землю</c:v>
                </c:pt>
                <c:pt idx="3">
                  <c:v>єдиний податок</c:v>
                </c:pt>
                <c:pt idx="4">
                  <c:v>податок на нерухоме майно, відмінне від зем.ділянки</c:v>
                </c:pt>
                <c:pt idx="5">
                  <c:v>інші платежі</c:v>
                </c:pt>
              </c:strCache>
            </c:strRef>
          </c:cat>
          <c:val>
            <c:numRef>
              <c:f>'[ОПЕРАТИВНА ДО БЮДЖЕТУ – копія – копія.xlsx]Лист1'!$G$30:$G$35</c:f>
              <c:numCache>
                <c:formatCode>General</c:formatCode>
                <c:ptCount val="6"/>
                <c:pt idx="0">
                  <c:v>102212.2</c:v>
                </c:pt>
                <c:pt idx="1">
                  <c:v>10828.4</c:v>
                </c:pt>
                <c:pt idx="2">
                  <c:v>20286.3</c:v>
                </c:pt>
                <c:pt idx="3">
                  <c:v>29050</c:v>
                </c:pt>
                <c:pt idx="4">
                  <c:v>4114.1000000000004</c:v>
                </c:pt>
                <c:pt idx="5">
                  <c:v>4583.1000000000004</c:v>
                </c:pt>
              </c:numCache>
            </c:numRef>
          </c:val>
          <c:extLst>
            <c:ext xmlns:c16="http://schemas.microsoft.com/office/drawing/2014/chart" uri="{C3380CC4-5D6E-409C-BE32-E72D297353CC}">
              <c16:uniqueId val="{00000006-CA84-49C3-9DC8-580C75C746F9}"/>
            </c:ext>
          </c:extLst>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67436580922137357"/>
          <c:y val="0.25136191309419653"/>
          <c:w val="0.3136401877801257"/>
          <c:h val="0.57742782152230976"/>
        </c:manualLayout>
      </c:layout>
      <c:overlay val="0"/>
    </c:legend>
    <c:plotVisOnly val="1"/>
    <c:dispBlanksAs val="gap"/>
    <c:showDLblsOverMax val="0"/>
  </c:chart>
  <c:spPr>
    <a:noFill/>
    <a:ln>
      <a:solidFill>
        <a:schemeClr val="accent1"/>
      </a:solidFill>
      <a:round/>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DAE85-44DA-4C40-A24B-140A74BD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17</Pages>
  <Words>5974</Words>
  <Characters>34057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Ірина Ігорівна</cp:lastModifiedBy>
  <cp:revision>120</cp:revision>
  <cp:lastPrinted>2024-02-15T14:43:00Z</cp:lastPrinted>
  <dcterms:created xsi:type="dcterms:W3CDTF">2022-05-09T07:17:00Z</dcterms:created>
  <dcterms:modified xsi:type="dcterms:W3CDTF">2024-02-15T14:43:00Z</dcterms:modified>
</cp:coreProperties>
</file>