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D1" w:rsidRPr="00C42E49" w:rsidRDefault="003C32D1" w:rsidP="003C32D1">
      <w:pPr>
        <w:shd w:val="clear" w:color="auto" w:fill="FFFFFF"/>
        <w:spacing w:after="0"/>
        <w:jc w:val="center"/>
        <w:rPr>
          <w:rFonts w:ascii="Times New Roman" w:hAnsi="Times New Roman"/>
          <w:b/>
          <w:bCs/>
          <w:i/>
          <w:sz w:val="24"/>
          <w:szCs w:val="24"/>
          <w:bdr w:val="none" w:sz="0" w:space="0" w:color="auto" w:frame="1"/>
          <w:lang w:eastAsia="uk-UA"/>
        </w:rPr>
      </w:pPr>
      <w:r w:rsidRPr="00C42E49">
        <w:rPr>
          <w:rFonts w:ascii="Times New Roman" w:hAnsi="Times New Roman"/>
          <w:b/>
          <w:bCs/>
          <w:i/>
          <w:sz w:val="24"/>
          <w:szCs w:val="24"/>
          <w:bdr w:val="none" w:sz="0" w:space="0" w:color="auto" w:frame="1"/>
          <w:lang w:eastAsia="uk-UA"/>
        </w:rPr>
        <w:t>ДП «РОГАТИН –ВОДОКАНАЛ»</w:t>
      </w:r>
    </w:p>
    <w:p w:rsidR="003C32D1" w:rsidRPr="009B5750" w:rsidRDefault="003C32D1" w:rsidP="003C32D1">
      <w:pPr>
        <w:shd w:val="clear" w:color="auto" w:fill="FFFFFF"/>
        <w:spacing w:after="0" w:line="240" w:lineRule="auto"/>
        <w:jc w:val="center"/>
        <w:rPr>
          <w:rFonts w:ascii="Times New Roman" w:hAnsi="Times New Roman"/>
          <w:bCs/>
          <w:sz w:val="24"/>
          <w:szCs w:val="24"/>
          <w:bdr w:val="none" w:sz="0" w:space="0" w:color="auto" w:frame="1"/>
          <w:lang w:eastAsia="uk-UA"/>
        </w:rPr>
      </w:pPr>
      <w:r w:rsidRPr="009B5750">
        <w:rPr>
          <w:rFonts w:ascii="Times New Roman" w:hAnsi="Times New Roman"/>
          <w:bCs/>
          <w:sz w:val="24"/>
          <w:szCs w:val="24"/>
          <w:bdr w:val="none" w:sz="0" w:space="0" w:color="auto" w:frame="1"/>
          <w:lang w:eastAsia="uk-UA"/>
        </w:rPr>
        <w:t xml:space="preserve">   </w:t>
      </w:r>
    </w:p>
    <w:p w:rsidR="003C32D1" w:rsidRPr="009B5750" w:rsidRDefault="003C32D1" w:rsidP="003C32D1">
      <w:pPr>
        <w:shd w:val="clear" w:color="auto" w:fill="FFFFFF"/>
        <w:spacing w:after="0" w:line="240" w:lineRule="auto"/>
        <w:jc w:val="center"/>
        <w:rPr>
          <w:rFonts w:ascii="Times New Roman" w:hAnsi="Times New Roman"/>
          <w:bCs/>
          <w:sz w:val="24"/>
          <w:szCs w:val="24"/>
          <w:bdr w:val="none" w:sz="0" w:space="0" w:color="auto" w:frame="1"/>
          <w:lang w:eastAsia="uk-UA"/>
        </w:rPr>
      </w:pPr>
    </w:p>
    <w:p w:rsidR="003C32D1" w:rsidRPr="00C42E49" w:rsidRDefault="003C32D1" w:rsidP="003C32D1">
      <w:pPr>
        <w:shd w:val="clear" w:color="auto" w:fill="FFFFFF"/>
        <w:spacing w:after="0" w:line="240" w:lineRule="auto"/>
        <w:jc w:val="center"/>
        <w:rPr>
          <w:rFonts w:ascii="Times New Roman" w:hAnsi="Times New Roman"/>
          <w:bCs/>
          <w:sz w:val="24"/>
          <w:szCs w:val="24"/>
          <w:bdr w:val="none" w:sz="0" w:space="0" w:color="auto" w:frame="1"/>
          <w:lang w:eastAsia="uk-UA"/>
        </w:rPr>
      </w:pPr>
      <w:r w:rsidRPr="00C42E49">
        <w:rPr>
          <w:rFonts w:ascii="Times New Roman" w:hAnsi="Times New Roman"/>
          <w:bCs/>
          <w:sz w:val="24"/>
          <w:szCs w:val="24"/>
          <w:bdr w:val="none" w:sz="0" w:space="0" w:color="auto" w:frame="1"/>
          <w:lang w:eastAsia="uk-UA"/>
        </w:rPr>
        <w:t xml:space="preserve">Обґрунтування технічних та якісних характеристик предмета закупівлі,  очікуваної вартості предмета закупівлі </w:t>
      </w:r>
    </w:p>
    <w:p w:rsidR="003C32D1" w:rsidRPr="00C42E49" w:rsidRDefault="003C32D1" w:rsidP="003C32D1">
      <w:pPr>
        <w:shd w:val="clear" w:color="auto" w:fill="FFFFFF"/>
        <w:spacing w:after="0" w:line="240" w:lineRule="auto"/>
        <w:jc w:val="center"/>
        <w:rPr>
          <w:rFonts w:ascii="Times New Roman" w:hAnsi="Times New Roman"/>
          <w:sz w:val="24"/>
          <w:szCs w:val="24"/>
          <w:lang w:val="ru-RU" w:eastAsia="uk-UA"/>
        </w:rPr>
      </w:pPr>
    </w:p>
    <w:p w:rsidR="00B5602E" w:rsidRPr="00682DDD" w:rsidRDefault="003C32D1" w:rsidP="00682DDD">
      <w:pPr>
        <w:spacing w:after="0" w:line="240" w:lineRule="auto"/>
        <w:ind w:firstLineChars="354" w:firstLine="853"/>
        <w:jc w:val="both"/>
        <w:rPr>
          <w:rFonts w:ascii="Times New Roman" w:hAnsi="Times New Roman"/>
          <w:b/>
          <w:bCs/>
          <w:sz w:val="24"/>
          <w:szCs w:val="24"/>
          <w:bdr w:val="none" w:sz="0" w:space="0" w:color="auto" w:frame="1"/>
          <w:lang w:eastAsia="uk-UA"/>
        </w:rPr>
      </w:pPr>
      <w:r w:rsidRPr="00682DDD">
        <w:rPr>
          <w:rFonts w:ascii="Times New Roman" w:hAnsi="Times New Roman"/>
          <w:b/>
          <w:bCs/>
          <w:sz w:val="24"/>
          <w:szCs w:val="24"/>
          <w:bdr w:val="none" w:sz="0" w:space="0" w:color="auto" w:frame="1"/>
          <w:lang w:eastAsia="uk-UA"/>
        </w:rPr>
        <w:t>Предмет закупівлі:</w:t>
      </w:r>
    </w:p>
    <w:p w:rsidR="003C32D1" w:rsidRPr="00C42E49" w:rsidRDefault="003C32D1" w:rsidP="00C42E49">
      <w:pPr>
        <w:spacing w:after="0" w:line="240" w:lineRule="auto"/>
        <w:ind w:firstLineChars="354" w:firstLine="850"/>
        <w:jc w:val="both"/>
        <w:rPr>
          <w:rFonts w:ascii="Times New Roman" w:hAnsi="Times New Roman"/>
          <w:sz w:val="24"/>
          <w:szCs w:val="24"/>
        </w:rPr>
      </w:pPr>
      <w:r w:rsidRPr="00C42E49">
        <w:rPr>
          <w:rFonts w:ascii="Times New Roman" w:hAnsi="Times New Roman"/>
          <w:sz w:val="24"/>
          <w:szCs w:val="24"/>
        </w:rPr>
        <w:t xml:space="preserve"> </w:t>
      </w:r>
      <w:proofErr w:type="spellStart"/>
      <w:r w:rsidRPr="00C42E49">
        <w:rPr>
          <w:rFonts w:ascii="Times New Roman" w:hAnsi="Times New Roman"/>
          <w:sz w:val="24"/>
          <w:szCs w:val="24"/>
        </w:rPr>
        <w:t>Геолого-економічна</w:t>
      </w:r>
      <w:proofErr w:type="spellEnd"/>
      <w:r w:rsidRPr="00C42E49">
        <w:rPr>
          <w:rFonts w:ascii="Times New Roman" w:hAnsi="Times New Roman"/>
          <w:sz w:val="24"/>
          <w:szCs w:val="24"/>
        </w:rPr>
        <w:t xml:space="preserve"> оцінка експлуатаційних запасів питних підземних вод </w:t>
      </w:r>
      <w:proofErr w:type="spellStart"/>
      <w:r w:rsidRPr="00C42E49">
        <w:rPr>
          <w:rFonts w:ascii="Times New Roman" w:hAnsi="Times New Roman"/>
          <w:sz w:val="24"/>
          <w:szCs w:val="24"/>
        </w:rPr>
        <w:t>Рогатинської</w:t>
      </w:r>
      <w:proofErr w:type="spellEnd"/>
      <w:r w:rsidRPr="00C42E49">
        <w:rPr>
          <w:rFonts w:ascii="Times New Roman" w:hAnsi="Times New Roman"/>
          <w:sz w:val="24"/>
          <w:szCs w:val="24"/>
        </w:rPr>
        <w:t xml:space="preserve"> (свердловина № 511) та </w:t>
      </w:r>
      <w:proofErr w:type="spellStart"/>
      <w:r w:rsidRPr="00C42E49">
        <w:rPr>
          <w:rFonts w:ascii="Times New Roman" w:hAnsi="Times New Roman"/>
          <w:sz w:val="24"/>
          <w:szCs w:val="24"/>
        </w:rPr>
        <w:t>Пуківської</w:t>
      </w:r>
      <w:proofErr w:type="spellEnd"/>
      <w:r w:rsidRPr="00C42E49">
        <w:rPr>
          <w:rFonts w:ascii="Times New Roman" w:hAnsi="Times New Roman"/>
          <w:sz w:val="24"/>
          <w:szCs w:val="24"/>
        </w:rPr>
        <w:t xml:space="preserve"> (свердловина № 2) ділянок </w:t>
      </w:r>
      <w:proofErr w:type="spellStart"/>
      <w:r w:rsidRPr="00C42E49">
        <w:rPr>
          <w:rFonts w:ascii="Times New Roman" w:hAnsi="Times New Roman"/>
          <w:sz w:val="24"/>
          <w:szCs w:val="24"/>
        </w:rPr>
        <w:t>Рогатинського</w:t>
      </w:r>
      <w:proofErr w:type="spellEnd"/>
      <w:r w:rsidRPr="00C42E49">
        <w:rPr>
          <w:rFonts w:ascii="Times New Roman" w:hAnsi="Times New Roman"/>
          <w:sz w:val="24"/>
          <w:szCs w:val="24"/>
        </w:rPr>
        <w:t xml:space="preserve"> родовища.</w:t>
      </w:r>
    </w:p>
    <w:p w:rsidR="003C32D1" w:rsidRPr="00C42E49" w:rsidRDefault="003C32D1" w:rsidP="00C42E49">
      <w:pPr>
        <w:spacing w:after="0" w:line="240" w:lineRule="auto"/>
        <w:ind w:firstLineChars="354" w:firstLine="850"/>
        <w:jc w:val="both"/>
        <w:rPr>
          <w:rFonts w:ascii="Times New Roman" w:hAnsi="Times New Roman"/>
          <w:sz w:val="24"/>
          <w:szCs w:val="24"/>
        </w:rPr>
      </w:pPr>
    </w:p>
    <w:p w:rsidR="003C32D1" w:rsidRPr="00682DDD" w:rsidRDefault="003C32D1" w:rsidP="003C32D1">
      <w:pPr>
        <w:spacing w:after="0" w:line="240" w:lineRule="auto"/>
        <w:jc w:val="center"/>
        <w:rPr>
          <w:rFonts w:ascii="Arial" w:hAnsi="Arial" w:cs="Arial"/>
          <w:b/>
          <w:bCs/>
          <w:color w:val="000000" w:themeColor="text1"/>
          <w:sz w:val="24"/>
          <w:szCs w:val="24"/>
          <w:shd w:val="clear" w:color="auto" w:fill="BFFFB2"/>
        </w:rPr>
      </w:pPr>
      <w:r w:rsidRPr="00682DDD">
        <w:rPr>
          <w:rFonts w:ascii="Times New Roman" w:hAnsi="Times New Roman"/>
          <w:b/>
          <w:sz w:val="24"/>
          <w:szCs w:val="24"/>
        </w:rPr>
        <w:t>Код ДК 021:2015 – 71350000-6 Науково-технічні послуги в галузі інженерії</w:t>
      </w:r>
    </w:p>
    <w:p w:rsidR="003C32D1" w:rsidRPr="00C42E49" w:rsidRDefault="003C32D1" w:rsidP="003C32D1">
      <w:pPr>
        <w:spacing w:before="240" w:after="0" w:line="240" w:lineRule="auto"/>
        <w:jc w:val="center"/>
        <w:rPr>
          <w:rFonts w:ascii="Times New Roman" w:hAnsi="Times New Roman"/>
          <w:color w:val="000000"/>
          <w:sz w:val="24"/>
          <w:szCs w:val="24"/>
        </w:rPr>
      </w:pPr>
    </w:p>
    <w:p w:rsidR="00C42E49" w:rsidRPr="00B5602E" w:rsidRDefault="00BC30FF" w:rsidP="00BC30FF">
      <w:pPr>
        <w:shd w:val="clear" w:color="auto" w:fill="FFFFFF"/>
        <w:spacing w:after="0" w:line="240" w:lineRule="auto"/>
        <w:jc w:val="both"/>
        <w:rPr>
          <w:rFonts w:ascii="Times New Roman" w:hAnsi="Times New Roman"/>
          <w:b/>
          <w:sz w:val="24"/>
          <w:szCs w:val="24"/>
        </w:rPr>
      </w:pPr>
      <w:r w:rsidRPr="00B5602E">
        <w:rPr>
          <w:rFonts w:ascii="Times New Roman" w:hAnsi="Times New Roman"/>
          <w:b/>
          <w:sz w:val="24"/>
          <w:szCs w:val="24"/>
        </w:rPr>
        <w:t>Мета проведення закупівлі:</w:t>
      </w:r>
    </w:p>
    <w:p w:rsidR="003C32D1" w:rsidRPr="00C42E49" w:rsidRDefault="00BC30FF" w:rsidP="00BC30FF">
      <w:pPr>
        <w:shd w:val="clear" w:color="auto" w:fill="FFFFFF"/>
        <w:spacing w:after="0" w:line="240" w:lineRule="auto"/>
        <w:jc w:val="both"/>
        <w:rPr>
          <w:rFonts w:ascii="Times New Roman" w:hAnsi="Times New Roman"/>
          <w:sz w:val="24"/>
          <w:szCs w:val="24"/>
        </w:rPr>
      </w:pPr>
      <w:r w:rsidRPr="00C42E49">
        <w:rPr>
          <w:rFonts w:ascii="Times New Roman" w:hAnsi="Times New Roman"/>
          <w:sz w:val="24"/>
          <w:szCs w:val="24"/>
        </w:rPr>
        <w:t xml:space="preserve"> забезпечення сталого функціонування  та  надання  послуг з централізованого водопостачання та водовідведення у ДП «Рогатин -Водоканал» існує необхідність в закупівлі </w:t>
      </w:r>
      <w:r w:rsidR="00C42E49">
        <w:rPr>
          <w:rFonts w:ascii="Times New Roman" w:hAnsi="Times New Roman"/>
          <w:sz w:val="24"/>
          <w:szCs w:val="24"/>
        </w:rPr>
        <w:t xml:space="preserve">послуги з </w:t>
      </w:r>
      <w:proofErr w:type="spellStart"/>
      <w:r w:rsidR="00C42E49">
        <w:rPr>
          <w:rFonts w:ascii="Times New Roman" w:hAnsi="Times New Roman"/>
          <w:sz w:val="24"/>
          <w:szCs w:val="24"/>
        </w:rPr>
        <w:t>г</w:t>
      </w:r>
      <w:r w:rsidRPr="00C42E49">
        <w:rPr>
          <w:rFonts w:ascii="Times New Roman" w:hAnsi="Times New Roman"/>
          <w:sz w:val="24"/>
          <w:szCs w:val="24"/>
        </w:rPr>
        <w:t>еолого-економічної</w:t>
      </w:r>
      <w:proofErr w:type="spellEnd"/>
      <w:r w:rsidRPr="00C42E49">
        <w:rPr>
          <w:rFonts w:ascii="Times New Roman" w:hAnsi="Times New Roman"/>
          <w:sz w:val="24"/>
          <w:szCs w:val="24"/>
        </w:rPr>
        <w:t xml:space="preserve"> оцінки експлуатаційних запасів питних підземних вод </w:t>
      </w:r>
      <w:proofErr w:type="spellStart"/>
      <w:r w:rsidRPr="00C42E49">
        <w:rPr>
          <w:rFonts w:ascii="Times New Roman" w:hAnsi="Times New Roman"/>
          <w:sz w:val="24"/>
          <w:szCs w:val="24"/>
        </w:rPr>
        <w:t>Рогатинської</w:t>
      </w:r>
      <w:proofErr w:type="spellEnd"/>
      <w:r w:rsidRPr="00C42E49">
        <w:rPr>
          <w:rFonts w:ascii="Times New Roman" w:hAnsi="Times New Roman"/>
          <w:sz w:val="24"/>
          <w:szCs w:val="24"/>
        </w:rPr>
        <w:t xml:space="preserve"> (свердловина № 511) та </w:t>
      </w:r>
      <w:proofErr w:type="spellStart"/>
      <w:r w:rsidRPr="00C42E49">
        <w:rPr>
          <w:rFonts w:ascii="Times New Roman" w:hAnsi="Times New Roman"/>
          <w:sz w:val="24"/>
          <w:szCs w:val="24"/>
        </w:rPr>
        <w:t>Пуківської</w:t>
      </w:r>
      <w:proofErr w:type="spellEnd"/>
      <w:r w:rsidRPr="00C42E49">
        <w:rPr>
          <w:rFonts w:ascii="Times New Roman" w:hAnsi="Times New Roman"/>
          <w:sz w:val="24"/>
          <w:szCs w:val="24"/>
        </w:rPr>
        <w:t xml:space="preserve"> (свердловина № 2) ділянок </w:t>
      </w:r>
      <w:proofErr w:type="spellStart"/>
      <w:r w:rsidRPr="00C42E49">
        <w:rPr>
          <w:rFonts w:ascii="Times New Roman" w:hAnsi="Times New Roman"/>
          <w:sz w:val="24"/>
          <w:szCs w:val="24"/>
        </w:rPr>
        <w:t>Рогатинського</w:t>
      </w:r>
      <w:proofErr w:type="spellEnd"/>
      <w:r w:rsidRPr="00C42E49">
        <w:rPr>
          <w:rFonts w:ascii="Times New Roman" w:hAnsi="Times New Roman"/>
          <w:sz w:val="24"/>
          <w:szCs w:val="24"/>
        </w:rPr>
        <w:t xml:space="preserve"> родовища</w:t>
      </w:r>
      <w:r w:rsidR="009B5750" w:rsidRPr="00C42E49">
        <w:rPr>
          <w:rFonts w:ascii="Times New Roman" w:hAnsi="Times New Roman"/>
          <w:sz w:val="24"/>
          <w:szCs w:val="24"/>
        </w:rPr>
        <w:t>.</w:t>
      </w:r>
    </w:p>
    <w:p w:rsidR="003C32D1" w:rsidRDefault="003C32D1" w:rsidP="003C32D1">
      <w:pPr>
        <w:spacing w:before="240" w:after="0" w:line="240" w:lineRule="auto"/>
        <w:jc w:val="center"/>
        <w:rPr>
          <w:rFonts w:ascii="Times New Roman" w:hAnsi="Times New Roman"/>
          <w:sz w:val="24"/>
          <w:szCs w:val="24"/>
        </w:rPr>
      </w:pPr>
    </w:p>
    <w:p w:rsidR="00B5602E" w:rsidRDefault="00B5602E" w:rsidP="00B5602E">
      <w:pPr>
        <w:shd w:val="clear" w:color="auto" w:fill="FFFFFF"/>
        <w:spacing w:after="0"/>
        <w:jc w:val="both"/>
        <w:rPr>
          <w:rFonts w:ascii="Times New Roman" w:hAnsi="Times New Roman"/>
          <w:sz w:val="24"/>
          <w:szCs w:val="24"/>
          <w:bdr w:val="none" w:sz="0" w:space="0" w:color="auto" w:frame="1"/>
          <w:lang w:eastAsia="uk-UA"/>
        </w:rPr>
      </w:pPr>
      <w:r w:rsidRPr="00835B0E">
        <w:rPr>
          <w:rFonts w:ascii="Times New Roman" w:hAnsi="Times New Roman"/>
          <w:b/>
          <w:sz w:val="24"/>
          <w:szCs w:val="24"/>
          <w:bdr w:val="none" w:sz="0" w:space="0" w:color="auto" w:frame="1"/>
          <w:lang w:eastAsia="uk-UA"/>
        </w:rPr>
        <w:t>Вид процедури закуп</w:t>
      </w:r>
      <w:r w:rsidRPr="00BE1AD8">
        <w:rPr>
          <w:rFonts w:ascii="Times New Roman" w:hAnsi="Times New Roman"/>
          <w:b/>
          <w:sz w:val="24"/>
          <w:szCs w:val="24"/>
          <w:bdr w:val="none" w:sz="0" w:space="0" w:color="auto" w:frame="1"/>
          <w:lang w:eastAsia="uk-UA"/>
        </w:rPr>
        <w:t>івлі</w:t>
      </w:r>
      <w:r>
        <w:rPr>
          <w:rFonts w:ascii="Times New Roman" w:hAnsi="Times New Roman"/>
          <w:sz w:val="24"/>
          <w:szCs w:val="24"/>
          <w:bdr w:val="none" w:sz="0" w:space="0" w:color="auto" w:frame="1"/>
          <w:lang w:eastAsia="uk-UA"/>
        </w:rPr>
        <w:t xml:space="preserve"> :</w:t>
      </w:r>
    </w:p>
    <w:p w:rsidR="00B5602E" w:rsidRDefault="00B5602E" w:rsidP="00B5602E">
      <w:pPr>
        <w:shd w:val="clear" w:color="auto" w:fill="FFFFFF"/>
        <w:spacing w:after="0"/>
        <w:jc w:val="both"/>
        <w:rPr>
          <w:rFonts w:ascii="Times New Roman" w:hAnsi="Times New Roman"/>
          <w:sz w:val="24"/>
          <w:szCs w:val="24"/>
          <w:bdr w:val="none" w:sz="0" w:space="0" w:color="auto" w:frame="1"/>
          <w:lang w:eastAsia="uk-UA"/>
        </w:rPr>
      </w:pPr>
      <w:r>
        <w:rPr>
          <w:rFonts w:ascii="Times New Roman" w:hAnsi="Times New Roman"/>
          <w:sz w:val="24"/>
          <w:szCs w:val="24"/>
          <w:bdr w:val="none" w:sz="0" w:space="0" w:color="auto" w:frame="1"/>
          <w:lang w:eastAsia="uk-UA"/>
        </w:rPr>
        <w:t xml:space="preserve"> відкриті торги з особливостями з урахуванням </w:t>
      </w:r>
      <w:r w:rsidRPr="000115E8">
        <w:rPr>
          <w:rFonts w:ascii="Times New Roman" w:hAnsi="Times New Roman"/>
          <w:color w:val="000000"/>
          <w:sz w:val="24"/>
          <w:szCs w:val="24"/>
        </w:rPr>
        <w:t xml:space="preserve">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w:t>
      </w:r>
      <w:r w:rsidRPr="00682DDD">
        <w:rPr>
          <w:rFonts w:ascii="Times New Roman" w:hAnsi="Times New Roman"/>
          <w:color w:val="000000"/>
          <w:sz w:val="24"/>
          <w:szCs w:val="24"/>
        </w:rPr>
        <w:t>Кабінету Міністрів України від 12.10.2022 № 1178 (зі змінами)</w:t>
      </w:r>
    </w:p>
    <w:p w:rsidR="00B5602E" w:rsidRPr="00C42E49" w:rsidRDefault="00B5602E" w:rsidP="003C32D1">
      <w:pPr>
        <w:spacing w:before="240" w:after="0" w:line="240" w:lineRule="auto"/>
        <w:jc w:val="center"/>
        <w:rPr>
          <w:rFonts w:ascii="Times New Roman" w:hAnsi="Times New Roman"/>
          <w:sz w:val="24"/>
          <w:szCs w:val="24"/>
        </w:rPr>
      </w:pPr>
    </w:p>
    <w:p w:rsidR="00C42E49" w:rsidRPr="00B5602E" w:rsidRDefault="009B5750" w:rsidP="00C42E49">
      <w:pPr>
        <w:spacing w:after="0" w:line="240" w:lineRule="auto"/>
        <w:rPr>
          <w:rFonts w:ascii="Times New Roman" w:hAnsi="Times New Roman"/>
          <w:b/>
          <w:bCs/>
          <w:sz w:val="24"/>
          <w:szCs w:val="24"/>
        </w:rPr>
      </w:pPr>
      <w:r w:rsidRPr="00B5602E">
        <w:rPr>
          <w:rFonts w:ascii="Times New Roman" w:hAnsi="Times New Roman"/>
          <w:b/>
          <w:bCs/>
          <w:sz w:val="24"/>
          <w:szCs w:val="24"/>
        </w:rPr>
        <w:t>Технічні та якісні характеристики предмета закупівлі</w:t>
      </w:r>
      <w:r w:rsidR="00C42E49" w:rsidRPr="00B5602E">
        <w:rPr>
          <w:rFonts w:ascii="Times New Roman" w:hAnsi="Times New Roman"/>
          <w:b/>
          <w:bCs/>
          <w:sz w:val="24"/>
          <w:szCs w:val="24"/>
        </w:rPr>
        <w:t>:</w:t>
      </w:r>
    </w:p>
    <w:p w:rsidR="00C42E49" w:rsidRPr="00C42E49" w:rsidRDefault="00C42E49" w:rsidP="00C42E49">
      <w:pPr>
        <w:spacing w:after="0" w:line="240" w:lineRule="auto"/>
        <w:rPr>
          <w:rFonts w:ascii="Times New Roman" w:hAnsi="Times New Roman"/>
          <w:bCs/>
          <w:sz w:val="24"/>
          <w:szCs w:val="24"/>
        </w:rPr>
      </w:pPr>
    </w:p>
    <w:p w:rsidR="00DB7953" w:rsidRPr="00DB7953" w:rsidRDefault="00DB7953" w:rsidP="00DB7953">
      <w:pPr>
        <w:spacing w:after="0" w:line="240" w:lineRule="auto"/>
        <w:ind w:firstLine="851"/>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Проведення </w:t>
      </w:r>
      <w:proofErr w:type="spellStart"/>
      <w:r w:rsidRPr="00DB7953">
        <w:rPr>
          <w:rFonts w:ascii="Times New Roman" w:eastAsiaTheme="minorHAnsi" w:hAnsi="Times New Roman"/>
          <w:sz w:val="24"/>
          <w:szCs w:val="24"/>
        </w:rPr>
        <w:t>геолого-економічної</w:t>
      </w:r>
      <w:proofErr w:type="spellEnd"/>
      <w:r w:rsidRPr="00DB7953">
        <w:rPr>
          <w:rFonts w:ascii="Times New Roman" w:eastAsiaTheme="minorHAnsi" w:hAnsi="Times New Roman"/>
          <w:sz w:val="24"/>
          <w:szCs w:val="24"/>
        </w:rPr>
        <w:t xml:space="preserve"> оцінки експлуатаційних запасів питних підземних вод </w:t>
      </w:r>
      <w:proofErr w:type="spellStart"/>
      <w:r w:rsidRPr="00DB7953">
        <w:rPr>
          <w:rFonts w:ascii="Times New Roman" w:eastAsiaTheme="minorHAnsi" w:hAnsi="Times New Roman"/>
          <w:sz w:val="24"/>
          <w:szCs w:val="24"/>
        </w:rPr>
        <w:t>Рогатинської</w:t>
      </w:r>
      <w:proofErr w:type="spellEnd"/>
      <w:r w:rsidRPr="00DB7953">
        <w:rPr>
          <w:rFonts w:ascii="Times New Roman" w:eastAsiaTheme="minorHAnsi" w:hAnsi="Times New Roman"/>
          <w:sz w:val="24"/>
          <w:szCs w:val="24"/>
        </w:rPr>
        <w:t xml:space="preserve"> (свердловина № 511) та </w:t>
      </w:r>
      <w:proofErr w:type="spellStart"/>
      <w:r w:rsidRPr="00DB7953">
        <w:rPr>
          <w:rFonts w:ascii="Times New Roman" w:eastAsiaTheme="minorHAnsi" w:hAnsi="Times New Roman"/>
          <w:sz w:val="24"/>
          <w:szCs w:val="24"/>
        </w:rPr>
        <w:t>Пуківської</w:t>
      </w:r>
      <w:proofErr w:type="spellEnd"/>
      <w:r w:rsidRPr="00DB7953">
        <w:rPr>
          <w:rFonts w:ascii="Times New Roman" w:eastAsiaTheme="minorHAnsi" w:hAnsi="Times New Roman"/>
          <w:sz w:val="24"/>
          <w:szCs w:val="24"/>
        </w:rPr>
        <w:t xml:space="preserve"> (свердловина № 2) ділянок </w:t>
      </w:r>
      <w:proofErr w:type="spellStart"/>
      <w:r w:rsidRPr="00DB7953">
        <w:rPr>
          <w:rFonts w:ascii="Times New Roman" w:eastAsiaTheme="minorHAnsi" w:hAnsi="Times New Roman"/>
          <w:sz w:val="24"/>
          <w:szCs w:val="24"/>
        </w:rPr>
        <w:t>Рогатинського</w:t>
      </w:r>
      <w:proofErr w:type="spellEnd"/>
      <w:r w:rsidRPr="00DB7953">
        <w:rPr>
          <w:rFonts w:ascii="Times New Roman" w:eastAsiaTheme="minorHAnsi" w:hAnsi="Times New Roman"/>
          <w:sz w:val="24"/>
          <w:szCs w:val="24"/>
        </w:rPr>
        <w:t xml:space="preserve"> родовища здійснюється з метою виконання вимог особливих умов Спеціальних дозволів на користування надрами від 09 грудня 2004 року №№ 3549 та 3550 та вимог п. 25 «Положення про порядок проведення державної експертизи та оцінки запасів корисних копалин», що затверджено Постановою КМУ від 22 грудня 1994 року за № 865.</w:t>
      </w:r>
    </w:p>
    <w:p w:rsidR="00DB7953" w:rsidRPr="00DB7953" w:rsidRDefault="00DB7953" w:rsidP="00DB7953">
      <w:pPr>
        <w:spacing w:after="0" w:line="240" w:lineRule="auto"/>
        <w:ind w:firstLine="851"/>
        <w:jc w:val="both"/>
        <w:rPr>
          <w:rFonts w:ascii="Times New Roman" w:eastAsiaTheme="minorHAnsi" w:hAnsi="Times New Roman"/>
          <w:sz w:val="24"/>
          <w:szCs w:val="24"/>
        </w:rPr>
      </w:pPr>
      <w:r w:rsidRPr="00DB7953">
        <w:rPr>
          <w:rFonts w:ascii="Times New Roman" w:eastAsiaTheme="minorHAnsi" w:hAnsi="Times New Roman"/>
          <w:sz w:val="24"/>
          <w:szCs w:val="24"/>
        </w:rPr>
        <w:t>Матеріалів раніше проведених досліджень в Замовника не має.</w:t>
      </w:r>
    </w:p>
    <w:p w:rsidR="00DB7953" w:rsidRPr="00DB7953" w:rsidRDefault="00DB7953" w:rsidP="00DB7953">
      <w:pPr>
        <w:spacing w:after="0" w:line="240" w:lineRule="auto"/>
        <w:ind w:firstLine="851"/>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Замовник передає Виконавцю дані режимних спостережень по експлуатаційних свердловинах №511 та №2, і спостережній свердловині №1с. Систематичні заміри проводилися з липня місяця 2021 року. Режим проводився за динамічним рівнем. Повного відновлення рівня до статичного неможливо дочекатися, так як необхідно забезпечувати водою населення. Також Замовник представляє Виконавцю, на опрацювання дані замірів пониження та відновлення рівня під час дослідної відкачки. </w:t>
      </w:r>
    </w:p>
    <w:p w:rsidR="00DB7953" w:rsidRPr="00DB7953" w:rsidRDefault="00DB7953" w:rsidP="00DB7953">
      <w:pPr>
        <w:spacing w:after="0" w:line="240" w:lineRule="auto"/>
        <w:ind w:firstLine="851"/>
        <w:jc w:val="both"/>
        <w:rPr>
          <w:rFonts w:ascii="Times New Roman" w:eastAsiaTheme="minorHAnsi" w:hAnsi="Times New Roman"/>
          <w:sz w:val="24"/>
          <w:szCs w:val="24"/>
        </w:rPr>
      </w:pPr>
      <w:r w:rsidRPr="00DB7953">
        <w:rPr>
          <w:rFonts w:ascii="Times New Roman" w:eastAsiaTheme="minorHAnsi" w:hAnsi="Times New Roman"/>
          <w:sz w:val="24"/>
          <w:szCs w:val="24"/>
        </w:rPr>
        <w:t>В свердловинах проводилися геофізичні роботи, і наявні відповідні діаграми.</w:t>
      </w:r>
    </w:p>
    <w:p w:rsidR="00DB7953" w:rsidRPr="00DB7953" w:rsidRDefault="00DB7953" w:rsidP="00DB7953">
      <w:pPr>
        <w:spacing w:after="0" w:line="240" w:lineRule="auto"/>
        <w:ind w:firstLine="851"/>
        <w:jc w:val="both"/>
        <w:rPr>
          <w:rFonts w:ascii="Times New Roman" w:eastAsiaTheme="minorHAnsi" w:hAnsi="Times New Roman"/>
          <w:sz w:val="24"/>
          <w:szCs w:val="24"/>
        </w:rPr>
      </w:pPr>
      <w:r w:rsidRPr="00DB7953">
        <w:rPr>
          <w:rFonts w:ascii="Times New Roman" w:eastAsiaTheme="minorHAnsi" w:hAnsi="Times New Roman"/>
          <w:sz w:val="24"/>
          <w:szCs w:val="24"/>
        </w:rPr>
        <w:t>Таким чином Замовник забезпечить Виконавця, майже всіма необхідними даними для оцінки запасів гідравлічним і гідродинамічним методами по категоріях А та В.</w:t>
      </w:r>
    </w:p>
    <w:p w:rsidR="00DB7953" w:rsidRPr="00DB7953" w:rsidRDefault="00DB7953" w:rsidP="00DB7953">
      <w:pPr>
        <w:spacing w:after="0" w:line="240" w:lineRule="auto"/>
        <w:ind w:firstLine="851"/>
        <w:jc w:val="both"/>
        <w:rPr>
          <w:rFonts w:ascii="Times New Roman" w:eastAsiaTheme="minorHAnsi" w:hAnsi="Times New Roman"/>
          <w:sz w:val="24"/>
          <w:szCs w:val="24"/>
        </w:rPr>
      </w:pPr>
      <w:r w:rsidRPr="00DB7953">
        <w:rPr>
          <w:rFonts w:ascii="Times New Roman" w:eastAsiaTheme="minorHAnsi" w:hAnsi="Times New Roman"/>
          <w:sz w:val="24"/>
          <w:szCs w:val="24"/>
        </w:rPr>
        <w:t>Натомість Замовник чекає від Виконавця, якісної обробки отриманої інформації.</w:t>
      </w:r>
    </w:p>
    <w:p w:rsidR="00DB7953" w:rsidRPr="00DB7953" w:rsidRDefault="00DB7953" w:rsidP="00DB7953">
      <w:pPr>
        <w:spacing w:after="0" w:line="240" w:lineRule="auto"/>
        <w:ind w:firstLine="851"/>
        <w:jc w:val="both"/>
        <w:rPr>
          <w:rFonts w:ascii="Times New Roman" w:eastAsiaTheme="minorHAnsi" w:hAnsi="Times New Roman"/>
          <w:sz w:val="24"/>
          <w:szCs w:val="24"/>
        </w:rPr>
      </w:pPr>
      <w:r w:rsidRPr="00DB7953">
        <w:rPr>
          <w:rFonts w:ascii="Times New Roman" w:eastAsiaTheme="minorHAnsi" w:hAnsi="Times New Roman"/>
          <w:sz w:val="24"/>
          <w:szCs w:val="24"/>
        </w:rPr>
        <w:t>Замовник передає Виконавцю всю наявну інформацію по режиму, водовідбору, аналітичних дослідженнях тільки після підписання договору та у місці виконання послуги зазначених в пункті 3.</w:t>
      </w:r>
    </w:p>
    <w:p w:rsidR="00DB7953" w:rsidRPr="00DB7953" w:rsidRDefault="00DB7953" w:rsidP="00DB7953">
      <w:pPr>
        <w:spacing w:after="0" w:line="240" w:lineRule="auto"/>
        <w:ind w:firstLine="851"/>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За результатами послуги Виконавець розробляє та погоджує із Замовником Звіт з </w:t>
      </w:r>
      <w:proofErr w:type="spellStart"/>
      <w:r w:rsidRPr="00DB7953">
        <w:rPr>
          <w:rFonts w:ascii="Times New Roman" w:eastAsiaTheme="minorHAnsi" w:hAnsi="Times New Roman"/>
          <w:sz w:val="24"/>
          <w:szCs w:val="24"/>
        </w:rPr>
        <w:t>геолого-економічної</w:t>
      </w:r>
      <w:proofErr w:type="spellEnd"/>
      <w:r w:rsidRPr="00DB7953">
        <w:rPr>
          <w:rFonts w:ascii="Times New Roman" w:eastAsiaTheme="minorHAnsi" w:hAnsi="Times New Roman"/>
          <w:sz w:val="24"/>
          <w:szCs w:val="24"/>
        </w:rPr>
        <w:t xml:space="preserve"> оцінки експлуатаційних запасів питних підземних вод </w:t>
      </w:r>
      <w:proofErr w:type="spellStart"/>
      <w:r w:rsidRPr="00DB7953">
        <w:rPr>
          <w:rFonts w:ascii="Times New Roman" w:eastAsiaTheme="minorHAnsi" w:hAnsi="Times New Roman"/>
          <w:sz w:val="24"/>
          <w:szCs w:val="24"/>
        </w:rPr>
        <w:t>Рогатинської</w:t>
      </w:r>
      <w:proofErr w:type="spellEnd"/>
      <w:r w:rsidRPr="00DB7953">
        <w:rPr>
          <w:rFonts w:ascii="Times New Roman" w:eastAsiaTheme="minorHAnsi" w:hAnsi="Times New Roman"/>
          <w:sz w:val="24"/>
          <w:szCs w:val="24"/>
        </w:rPr>
        <w:t xml:space="preserve"> </w:t>
      </w:r>
      <w:r w:rsidRPr="00DB7953">
        <w:rPr>
          <w:rFonts w:ascii="Times New Roman" w:eastAsiaTheme="minorHAnsi" w:hAnsi="Times New Roman"/>
          <w:sz w:val="24"/>
          <w:szCs w:val="24"/>
        </w:rPr>
        <w:lastRenderedPageBreak/>
        <w:t xml:space="preserve">(свердловина № 511) та </w:t>
      </w:r>
      <w:proofErr w:type="spellStart"/>
      <w:r w:rsidRPr="00DB7953">
        <w:rPr>
          <w:rFonts w:ascii="Times New Roman" w:eastAsiaTheme="minorHAnsi" w:hAnsi="Times New Roman"/>
          <w:sz w:val="24"/>
          <w:szCs w:val="24"/>
        </w:rPr>
        <w:t>Пуківської</w:t>
      </w:r>
      <w:proofErr w:type="spellEnd"/>
      <w:r w:rsidRPr="00DB7953">
        <w:rPr>
          <w:rFonts w:ascii="Times New Roman" w:eastAsiaTheme="minorHAnsi" w:hAnsi="Times New Roman"/>
          <w:sz w:val="24"/>
          <w:szCs w:val="24"/>
        </w:rPr>
        <w:t xml:space="preserve"> (свердловина № 2) ділянок </w:t>
      </w:r>
      <w:proofErr w:type="spellStart"/>
      <w:r w:rsidRPr="00DB7953">
        <w:rPr>
          <w:rFonts w:ascii="Times New Roman" w:eastAsiaTheme="minorHAnsi" w:hAnsi="Times New Roman"/>
          <w:sz w:val="24"/>
          <w:szCs w:val="24"/>
        </w:rPr>
        <w:t>Рогатинського</w:t>
      </w:r>
      <w:proofErr w:type="spellEnd"/>
      <w:r w:rsidRPr="00DB7953">
        <w:rPr>
          <w:rFonts w:ascii="Times New Roman" w:eastAsiaTheme="minorHAnsi" w:hAnsi="Times New Roman"/>
          <w:sz w:val="24"/>
          <w:szCs w:val="24"/>
        </w:rPr>
        <w:t xml:space="preserve"> родовища (далі – Звіт), який повинен складатися з текстової та графічної частини.</w:t>
      </w:r>
    </w:p>
    <w:p w:rsidR="00DB7953" w:rsidRPr="00DB7953" w:rsidRDefault="00DB7953" w:rsidP="00DB7953">
      <w:pPr>
        <w:spacing w:after="0" w:line="240" w:lineRule="auto"/>
        <w:ind w:firstLine="851"/>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Виконавець зобов’язується визначити розрахункові гідрогеологічні параметри, а саме визначення потужності водоносного горизонту та його граничні умови в плані, допустиме пониження, коефіцієнт </w:t>
      </w:r>
      <w:proofErr w:type="spellStart"/>
      <w:r w:rsidRPr="00DB7953">
        <w:rPr>
          <w:rFonts w:ascii="Times New Roman" w:eastAsiaTheme="minorHAnsi" w:hAnsi="Times New Roman"/>
          <w:sz w:val="24"/>
          <w:szCs w:val="24"/>
        </w:rPr>
        <w:t>водопровідності</w:t>
      </w:r>
      <w:proofErr w:type="spellEnd"/>
      <w:r w:rsidRPr="00DB7953">
        <w:rPr>
          <w:rFonts w:ascii="Times New Roman" w:eastAsiaTheme="minorHAnsi" w:hAnsi="Times New Roman"/>
          <w:sz w:val="24"/>
          <w:szCs w:val="24"/>
        </w:rPr>
        <w:t xml:space="preserve">, фільтрації та </w:t>
      </w:r>
      <w:proofErr w:type="spellStart"/>
      <w:r w:rsidRPr="00DB7953">
        <w:rPr>
          <w:rFonts w:ascii="Times New Roman" w:eastAsiaTheme="minorHAnsi" w:hAnsi="Times New Roman"/>
          <w:sz w:val="24"/>
          <w:szCs w:val="24"/>
        </w:rPr>
        <w:t>п’єзопровідності</w:t>
      </w:r>
      <w:proofErr w:type="spellEnd"/>
      <w:r w:rsidRPr="00DB7953">
        <w:rPr>
          <w:rFonts w:ascii="Times New Roman" w:eastAsiaTheme="minorHAnsi" w:hAnsi="Times New Roman"/>
          <w:sz w:val="24"/>
          <w:szCs w:val="24"/>
        </w:rPr>
        <w:t xml:space="preserve"> водоносного горизонту, ухил підземного потоку. Для визначення ухилу Виконавець зобов’язується провести польові обстеження наявних водозабірних споруд в межах родовища та за його межами та побудувати карту </w:t>
      </w:r>
      <w:proofErr w:type="spellStart"/>
      <w:r w:rsidRPr="00DB7953">
        <w:rPr>
          <w:rFonts w:ascii="Times New Roman" w:eastAsiaTheme="minorHAnsi" w:hAnsi="Times New Roman"/>
          <w:sz w:val="24"/>
          <w:szCs w:val="24"/>
        </w:rPr>
        <w:t>гідроізогіпс</w:t>
      </w:r>
      <w:proofErr w:type="spellEnd"/>
      <w:r w:rsidRPr="00DB7953">
        <w:rPr>
          <w:rFonts w:ascii="Times New Roman" w:eastAsiaTheme="minorHAnsi" w:hAnsi="Times New Roman"/>
          <w:sz w:val="24"/>
          <w:szCs w:val="24"/>
        </w:rPr>
        <w:t xml:space="preserve">. </w:t>
      </w:r>
    </w:p>
    <w:p w:rsidR="00DB7953" w:rsidRPr="00DB7953" w:rsidRDefault="00DB7953" w:rsidP="00DB7953">
      <w:pPr>
        <w:spacing w:after="0" w:line="240" w:lineRule="auto"/>
        <w:ind w:firstLineChars="354" w:firstLine="850"/>
        <w:jc w:val="both"/>
        <w:rPr>
          <w:rFonts w:ascii="Times New Roman" w:eastAsiaTheme="minorHAnsi" w:hAnsi="Times New Roman"/>
          <w:sz w:val="24"/>
          <w:szCs w:val="24"/>
        </w:rPr>
      </w:pPr>
      <w:r w:rsidRPr="00DB7953">
        <w:rPr>
          <w:rFonts w:ascii="Times New Roman" w:eastAsiaTheme="minorHAnsi" w:hAnsi="Times New Roman"/>
          <w:sz w:val="24"/>
          <w:szCs w:val="24"/>
        </w:rPr>
        <w:t>Графічна частина звіту має містити наступну інформацію, а саме:</w:t>
      </w:r>
    </w:p>
    <w:p w:rsidR="00DB7953" w:rsidRPr="00DB7953" w:rsidRDefault="00DB7953" w:rsidP="00DB7953">
      <w:pPr>
        <w:numPr>
          <w:ilvl w:val="0"/>
          <w:numId w:val="3"/>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Карту фактичного матеріалу (масштаб 1:25000).</w:t>
      </w:r>
    </w:p>
    <w:p w:rsidR="00DB7953" w:rsidRPr="00DB7953" w:rsidRDefault="00DB7953" w:rsidP="00DB7953">
      <w:pPr>
        <w:numPr>
          <w:ilvl w:val="0"/>
          <w:numId w:val="3"/>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Гідрогеологічну карту з </w:t>
      </w:r>
      <w:proofErr w:type="spellStart"/>
      <w:r w:rsidRPr="00DB7953">
        <w:rPr>
          <w:rFonts w:ascii="Times New Roman" w:eastAsiaTheme="minorHAnsi" w:hAnsi="Times New Roman"/>
          <w:sz w:val="24"/>
          <w:szCs w:val="24"/>
        </w:rPr>
        <w:t>геолого-гідрогеологічним</w:t>
      </w:r>
      <w:proofErr w:type="spellEnd"/>
      <w:r w:rsidRPr="00DB7953">
        <w:rPr>
          <w:rFonts w:ascii="Times New Roman" w:eastAsiaTheme="minorHAnsi" w:hAnsi="Times New Roman"/>
          <w:sz w:val="24"/>
          <w:szCs w:val="24"/>
        </w:rPr>
        <w:t xml:space="preserve"> розрізом (масштаб 1:25000).</w:t>
      </w:r>
    </w:p>
    <w:p w:rsidR="00DB7953" w:rsidRPr="00DB7953" w:rsidRDefault="00DB7953" w:rsidP="00DB7953">
      <w:pPr>
        <w:numPr>
          <w:ilvl w:val="0"/>
          <w:numId w:val="3"/>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Лист відкачки із свердловини №2.</w:t>
      </w:r>
    </w:p>
    <w:p w:rsidR="00DB7953" w:rsidRPr="00DB7953" w:rsidRDefault="00DB7953" w:rsidP="00DB7953">
      <w:pPr>
        <w:numPr>
          <w:ilvl w:val="0"/>
          <w:numId w:val="3"/>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Лист відкачки із свердловини №511.</w:t>
      </w:r>
    </w:p>
    <w:p w:rsidR="00DB7953" w:rsidRPr="00DB7953" w:rsidRDefault="00DB7953" w:rsidP="00DB7953">
      <w:pPr>
        <w:numPr>
          <w:ilvl w:val="0"/>
          <w:numId w:val="3"/>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Карту </w:t>
      </w:r>
      <w:proofErr w:type="spellStart"/>
      <w:r w:rsidRPr="00DB7953">
        <w:rPr>
          <w:rFonts w:ascii="Times New Roman" w:eastAsiaTheme="minorHAnsi" w:hAnsi="Times New Roman"/>
          <w:sz w:val="24"/>
          <w:szCs w:val="24"/>
        </w:rPr>
        <w:t>гідроізогіпс</w:t>
      </w:r>
      <w:proofErr w:type="spellEnd"/>
      <w:r w:rsidRPr="00DB7953">
        <w:rPr>
          <w:rFonts w:ascii="Times New Roman" w:eastAsiaTheme="minorHAnsi" w:hAnsi="Times New Roman"/>
          <w:sz w:val="24"/>
          <w:szCs w:val="24"/>
        </w:rPr>
        <w:t xml:space="preserve"> водоносного горизонту.</w:t>
      </w:r>
    </w:p>
    <w:p w:rsidR="00DB7953" w:rsidRPr="00DB7953" w:rsidRDefault="00DB7953" w:rsidP="00DB7953">
      <w:pPr>
        <w:numPr>
          <w:ilvl w:val="0"/>
          <w:numId w:val="3"/>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Результати каротажу свердловини №2.</w:t>
      </w:r>
    </w:p>
    <w:p w:rsidR="00DB7953" w:rsidRPr="00DB7953" w:rsidRDefault="00DB7953" w:rsidP="00DB7953">
      <w:pPr>
        <w:numPr>
          <w:ilvl w:val="0"/>
          <w:numId w:val="3"/>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Результати каротажу свердловини №511.</w:t>
      </w:r>
    </w:p>
    <w:p w:rsidR="00DB7953" w:rsidRPr="00DB7953" w:rsidRDefault="00DB7953" w:rsidP="00DB7953">
      <w:pPr>
        <w:numPr>
          <w:ilvl w:val="0"/>
          <w:numId w:val="3"/>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Паспорт водозабору </w:t>
      </w:r>
      <w:proofErr w:type="spellStart"/>
      <w:r w:rsidRPr="00DB7953">
        <w:rPr>
          <w:rFonts w:ascii="Times New Roman" w:eastAsiaTheme="minorHAnsi" w:hAnsi="Times New Roman"/>
          <w:sz w:val="24"/>
          <w:szCs w:val="24"/>
        </w:rPr>
        <w:t>Рогатинської</w:t>
      </w:r>
      <w:proofErr w:type="spellEnd"/>
      <w:r w:rsidRPr="00DB7953">
        <w:rPr>
          <w:rFonts w:ascii="Times New Roman" w:eastAsiaTheme="minorHAnsi" w:hAnsi="Times New Roman"/>
          <w:sz w:val="24"/>
          <w:szCs w:val="24"/>
        </w:rPr>
        <w:t xml:space="preserve"> ділянки </w:t>
      </w:r>
      <w:proofErr w:type="spellStart"/>
      <w:r w:rsidRPr="00DB7953">
        <w:rPr>
          <w:rFonts w:ascii="Times New Roman" w:eastAsiaTheme="minorHAnsi" w:hAnsi="Times New Roman"/>
          <w:sz w:val="24"/>
          <w:szCs w:val="24"/>
        </w:rPr>
        <w:t>Рогатинського</w:t>
      </w:r>
      <w:proofErr w:type="spellEnd"/>
      <w:r w:rsidRPr="00DB7953">
        <w:rPr>
          <w:rFonts w:ascii="Times New Roman" w:eastAsiaTheme="minorHAnsi" w:hAnsi="Times New Roman"/>
          <w:sz w:val="24"/>
          <w:szCs w:val="24"/>
        </w:rPr>
        <w:t xml:space="preserve"> родовища.</w:t>
      </w:r>
    </w:p>
    <w:p w:rsidR="00DB7953" w:rsidRPr="00DB7953" w:rsidRDefault="00DB7953" w:rsidP="00DB7953">
      <w:pPr>
        <w:numPr>
          <w:ilvl w:val="0"/>
          <w:numId w:val="3"/>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Паспорт водозабору </w:t>
      </w:r>
      <w:proofErr w:type="spellStart"/>
      <w:r w:rsidRPr="00DB7953">
        <w:rPr>
          <w:rFonts w:ascii="Times New Roman" w:eastAsiaTheme="minorHAnsi" w:hAnsi="Times New Roman"/>
          <w:sz w:val="24"/>
          <w:szCs w:val="24"/>
        </w:rPr>
        <w:t>Пуківської</w:t>
      </w:r>
      <w:proofErr w:type="spellEnd"/>
      <w:r w:rsidRPr="00DB7953">
        <w:rPr>
          <w:rFonts w:ascii="Times New Roman" w:eastAsiaTheme="minorHAnsi" w:hAnsi="Times New Roman"/>
          <w:sz w:val="24"/>
          <w:szCs w:val="24"/>
        </w:rPr>
        <w:t xml:space="preserve"> ділянки </w:t>
      </w:r>
      <w:proofErr w:type="spellStart"/>
      <w:r w:rsidRPr="00DB7953">
        <w:rPr>
          <w:rFonts w:ascii="Times New Roman" w:eastAsiaTheme="minorHAnsi" w:hAnsi="Times New Roman"/>
          <w:sz w:val="24"/>
          <w:szCs w:val="24"/>
        </w:rPr>
        <w:t>Рогатинського</w:t>
      </w:r>
      <w:proofErr w:type="spellEnd"/>
      <w:r w:rsidRPr="00DB7953">
        <w:rPr>
          <w:rFonts w:ascii="Times New Roman" w:eastAsiaTheme="minorHAnsi" w:hAnsi="Times New Roman"/>
          <w:sz w:val="24"/>
          <w:szCs w:val="24"/>
        </w:rPr>
        <w:t xml:space="preserve"> родовища.</w:t>
      </w:r>
    </w:p>
    <w:p w:rsidR="00DB7953" w:rsidRPr="00DB7953" w:rsidRDefault="00DB7953" w:rsidP="00DB7953">
      <w:pPr>
        <w:numPr>
          <w:ilvl w:val="0"/>
          <w:numId w:val="3"/>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План підрахунку запасів </w:t>
      </w:r>
      <w:proofErr w:type="spellStart"/>
      <w:r w:rsidRPr="00DB7953">
        <w:rPr>
          <w:rFonts w:ascii="Times New Roman" w:eastAsiaTheme="minorHAnsi" w:hAnsi="Times New Roman"/>
          <w:sz w:val="24"/>
          <w:szCs w:val="24"/>
        </w:rPr>
        <w:t>Рогатинської</w:t>
      </w:r>
      <w:proofErr w:type="spellEnd"/>
      <w:r w:rsidRPr="00DB7953">
        <w:rPr>
          <w:rFonts w:ascii="Times New Roman" w:eastAsiaTheme="minorHAnsi" w:hAnsi="Times New Roman"/>
          <w:sz w:val="24"/>
          <w:szCs w:val="24"/>
        </w:rPr>
        <w:t xml:space="preserve"> ділянки </w:t>
      </w:r>
      <w:proofErr w:type="spellStart"/>
      <w:r w:rsidRPr="00DB7953">
        <w:rPr>
          <w:rFonts w:ascii="Times New Roman" w:eastAsiaTheme="minorHAnsi" w:hAnsi="Times New Roman"/>
          <w:sz w:val="24"/>
          <w:szCs w:val="24"/>
        </w:rPr>
        <w:t>Рогатинського</w:t>
      </w:r>
      <w:proofErr w:type="spellEnd"/>
      <w:r w:rsidRPr="00DB7953">
        <w:rPr>
          <w:rFonts w:ascii="Times New Roman" w:eastAsiaTheme="minorHAnsi" w:hAnsi="Times New Roman"/>
          <w:sz w:val="24"/>
          <w:szCs w:val="24"/>
        </w:rPr>
        <w:t xml:space="preserve"> родовища.</w:t>
      </w:r>
    </w:p>
    <w:p w:rsidR="00DB7953" w:rsidRPr="00DB7953" w:rsidRDefault="00DB7953" w:rsidP="00DB7953">
      <w:pPr>
        <w:numPr>
          <w:ilvl w:val="0"/>
          <w:numId w:val="3"/>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План підрахунку запасів </w:t>
      </w:r>
      <w:proofErr w:type="spellStart"/>
      <w:r w:rsidRPr="00DB7953">
        <w:rPr>
          <w:rFonts w:ascii="Times New Roman" w:eastAsiaTheme="minorHAnsi" w:hAnsi="Times New Roman"/>
          <w:sz w:val="24"/>
          <w:szCs w:val="24"/>
        </w:rPr>
        <w:t>Пуківської</w:t>
      </w:r>
      <w:proofErr w:type="spellEnd"/>
      <w:r w:rsidRPr="00DB7953">
        <w:rPr>
          <w:rFonts w:ascii="Times New Roman" w:eastAsiaTheme="minorHAnsi" w:hAnsi="Times New Roman"/>
          <w:sz w:val="24"/>
          <w:szCs w:val="24"/>
        </w:rPr>
        <w:t xml:space="preserve"> ділянки </w:t>
      </w:r>
      <w:proofErr w:type="spellStart"/>
      <w:r w:rsidRPr="00DB7953">
        <w:rPr>
          <w:rFonts w:ascii="Times New Roman" w:eastAsiaTheme="minorHAnsi" w:hAnsi="Times New Roman"/>
          <w:sz w:val="24"/>
          <w:szCs w:val="24"/>
        </w:rPr>
        <w:t>Рогатинського</w:t>
      </w:r>
      <w:proofErr w:type="spellEnd"/>
      <w:r w:rsidRPr="00DB7953">
        <w:rPr>
          <w:rFonts w:ascii="Times New Roman" w:eastAsiaTheme="minorHAnsi" w:hAnsi="Times New Roman"/>
          <w:sz w:val="24"/>
          <w:szCs w:val="24"/>
        </w:rPr>
        <w:t xml:space="preserve"> родовища.</w:t>
      </w:r>
    </w:p>
    <w:p w:rsidR="00DB7953" w:rsidRPr="00DB7953" w:rsidRDefault="00DB7953" w:rsidP="00DB7953">
      <w:pPr>
        <w:spacing w:after="0" w:line="240" w:lineRule="auto"/>
        <w:ind w:firstLine="851"/>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Звіт має бути оформлено відповідно до вимог «Інструкції про зміст, оформлення та порядок подання до Державної комісії України по запасах корисних копалин матеріалів </w:t>
      </w:r>
      <w:proofErr w:type="spellStart"/>
      <w:r w:rsidRPr="00DB7953">
        <w:rPr>
          <w:rFonts w:ascii="Times New Roman" w:eastAsiaTheme="minorHAnsi" w:hAnsi="Times New Roman"/>
          <w:sz w:val="24"/>
          <w:szCs w:val="24"/>
        </w:rPr>
        <w:t>геолого-економічної</w:t>
      </w:r>
      <w:proofErr w:type="spellEnd"/>
      <w:r w:rsidRPr="00DB7953">
        <w:rPr>
          <w:rFonts w:ascii="Times New Roman" w:eastAsiaTheme="minorHAnsi" w:hAnsi="Times New Roman"/>
          <w:sz w:val="24"/>
          <w:szCs w:val="24"/>
        </w:rPr>
        <w:t xml:space="preserve"> оцінки родовищ питних і технічних підземних вод», що затверджена наказом Державної комісії України по запасах корисних копалин (ДКЗ) при Міністерстві екології та природних ресурсів України від 2 вересня 2003 року № 162 з урахуванням вимог інструкції із застосування Класифікації запасів і ресурсів корисних копалин державного фонду надр до родовищ питних підземних вод, затверджена наказом Державної комісії України по запасах корисних копалин (ДКЗ України) при Міністерстві екології та природних ресурсів України від 4 лютого 2000 року № 23 та з врахуванням вимог методичних вказівок щодо змісту, оформлення та порядку подання до ДКЗ України матеріалів ГЕО, затверджених наказом ДКЗ від 30.12.2011 року № 460.</w:t>
      </w:r>
    </w:p>
    <w:p w:rsidR="00DB7953" w:rsidRPr="00DB7953" w:rsidRDefault="00DB7953" w:rsidP="00DB7953">
      <w:pPr>
        <w:spacing w:after="0" w:line="240" w:lineRule="auto"/>
        <w:ind w:firstLine="851"/>
        <w:jc w:val="both"/>
        <w:rPr>
          <w:rFonts w:ascii="Times New Roman" w:eastAsiaTheme="minorHAnsi" w:hAnsi="Times New Roman"/>
          <w:sz w:val="24"/>
          <w:szCs w:val="24"/>
        </w:rPr>
      </w:pPr>
      <w:r w:rsidRPr="00DB7953">
        <w:rPr>
          <w:rFonts w:ascii="Times New Roman" w:eastAsiaTheme="minorHAnsi" w:hAnsi="Times New Roman"/>
          <w:sz w:val="24"/>
          <w:szCs w:val="24"/>
        </w:rPr>
        <w:t>Послуга надається по наступному алгоритму дій:</w:t>
      </w:r>
    </w:p>
    <w:p w:rsidR="00DB7953" w:rsidRPr="00DB7953" w:rsidRDefault="00DB7953" w:rsidP="00DB7953">
      <w:pPr>
        <w:numPr>
          <w:ilvl w:val="0"/>
          <w:numId w:val="4"/>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Виконавець розробляє Звіт «</w:t>
      </w:r>
      <w:proofErr w:type="spellStart"/>
      <w:r w:rsidRPr="00DB7953">
        <w:rPr>
          <w:rFonts w:ascii="Times New Roman" w:eastAsiaTheme="minorHAnsi" w:hAnsi="Times New Roman"/>
          <w:sz w:val="24"/>
          <w:szCs w:val="24"/>
        </w:rPr>
        <w:t>Геолого-економічна</w:t>
      </w:r>
      <w:proofErr w:type="spellEnd"/>
      <w:r w:rsidRPr="00DB7953">
        <w:rPr>
          <w:rFonts w:ascii="Times New Roman" w:eastAsiaTheme="minorHAnsi" w:hAnsi="Times New Roman"/>
          <w:sz w:val="24"/>
          <w:szCs w:val="24"/>
        </w:rPr>
        <w:t xml:space="preserve"> оцінка експлуатаційних запасів питних підземних вод </w:t>
      </w:r>
      <w:proofErr w:type="spellStart"/>
      <w:r w:rsidRPr="00DB7953">
        <w:rPr>
          <w:rFonts w:ascii="Times New Roman" w:eastAsiaTheme="minorHAnsi" w:hAnsi="Times New Roman"/>
          <w:sz w:val="24"/>
          <w:szCs w:val="24"/>
        </w:rPr>
        <w:t>Рогатинської</w:t>
      </w:r>
      <w:proofErr w:type="spellEnd"/>
      <w:r w:rsidRPr="00DB7953">
        <w:rPr>
          <w:rFonts w:ascii="Times New Roman" w:eastAsiaTheme="minorHAnsi" w:hAnsi="Times New Roman"/>
          <w:sz w:val="24"/>
          <w:szCs w:val="24"/>
        </w:rPr>
        <w:t xml:space="preserve"> (свердловина № 511) та </w:t>
      </w:r>
      <w:proofErr w:type="spellStart"/>
      <w:r w:rsidRPr="00DB7953">
        <w:rPr>
          <w:rFonts w:ascii="Times New Roman" w:eastAsiaTheme="minorHAnsi" w:hAnsi="Times New Roman"/>
          <w:sz w:val="24"/>
          <w:szCs w:val="24"/>
        </w:rPr>
        <w:t>Пуківської</w:t>
      </w:r>
      <w:proofErr w:type="spellEnd"/>
      <w:r w:rsidRPr="00DB7953">
        <w:rPr>
          <w:rFonts w:ascii="Times New Roman" w:eastAsiaTheme="minorHAnsi" w:hAnsi="Times New Roman"/>
          <w:sz w:val="24"/>
          <w:szCs w:val="24"/>
        </w:rPr>
        <w:t xml:space="preserve"> (свердловина № 2) ділянок </w:t>
      </w:r>
      <w:proofErr w:type="spellStart"/>
      <w:r w:rsidRPr="00DB7953">
        <w:rPr>
          <w:rFonts w:ascii="Times New Roman" w:eastAsiaTheme="minorHAnsi" w:hAnsi="Times New Roman"/>
          <w:sz w:val="24"/>
          <w:szCs w:val="24"/>
        </w:rPr>
        <w:t>Рогатинського</w:t>
      </w:r>
      <w:proofErr w:type="spellEnd"/>
      <w:r w:rsidRPr="00DB7953">
        <w:rPr>
          <w:rFonts w:ascii="Times New Roman" w:eastAsiaTheme="minorHAnsi" w:hAnsi="Times New Roman"/>
          <w:sz w:val="24"/>
          <w:szCs w:val="24"/>
        </w:rPr>
        <w:t xml:space="preserve"> родовища», складений у відповідності до існуючих вимог ДКЗ та ДНВП «</w:t>
      </w:r>
      <w:proofErr w:type="spellStart"/>
      <w:r w:rsidRPr="00DB7953">
        <w:rPr>
          <w:rFonts w:ascii="Times New Roman" w:eastAsiaTheme="minorHAnsi" w:hAnsi="Times New Roman"/>
          <w:sz w:val="24"/>
          <w:szCs w:val="24"/>
        </w:rPr>
        <w:t>Геоінформ</w:t>
      </w:r>
      <w:proofErr w:type="spellEnd"/>
      <w:r w:rsidRPr="00DB7953">
        <w:rPr>
          <w:rFonts w:ascii="Times New Roman" w:eastAsiaTheme="minorHAnsi" w:hAnsi="Times New Roman"/>
          <w:sz w:val="24"/>
          <w:szCs w:val="24"/>
        </w:rPr>
        <w:t xml:space="preserve"> України», надалі іменується «Звіт».</w:t>
      </w:r>
    </w:p>
    <w:p w:rsidR="00DB7953" w:rsidRPr="00DB7953" w:rsidRDefault="00DB7953" w:rsidP="00DB7953">
      <w:pPr>
        <w:numPr>
          <w:ilvl w:val="0"/>
          <w:numId w:val="4"/>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Направляє на ознайомлення Замовнику електронний варіант Звіту;</w:t>
      </w:r>
    </w:p>
    <w:p w:rsidR="00DB7953" w:rsidRPr="00DB7953" w:rsidRDefault="00DB7953" w:rsidP="00DB7953">
      <w:pPr>
        <w:numPr>
          <w:ilvl w:val="0"/>
          <w:numId w:val="4"/>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Через, п’ять днів з моменту отримання електронного варіанту звіту, та за умови що в Звіт буде відповідати вимогам зазначеним вище, Замовник та Виконавець проводять спільну</w:t>
      </w:r>
      <w:r w:rsidRPr="00DB7953">
        <w:rPr>
          <w:rFonts w:asciiTheme="minorHAnsi" w:eastAsiaTheme="minorHAnsi" w:hAnsiTheme="minorHAnsi" w:cstheme="minorBidi"/>
        </w:rPr>
        <w:t xml:space="preserve"> </w:t>
      </w:r>
      <w:r w:rsidRPr="00DB7953">
        <w:rPr>
          <w:rFonts w:ascii="Times New Roman" w:eastAsiaTheme="minorHAnsi" w:hAnsi="Times New Roman"/>
          <w:sz w:val="24"/>
          <w:szCs w:val="24"/>
        </w:rPr>
        <w:t>науково-технічну раду, надалі іменується «НТР», з оформленням відповідного протоколу НТР. НТР буде проводитися за юридичною адресою Замовника.</w:t>
      </w:r>
    </w:p>
    <w:p w:rsidR="00DB7953" w:rsidRPr="00DB7953" w:rsidRDefault="00DB7953" w:rsidP="00DB7953">
      <w:pPr>
        <w:numPr>
          <w:ilvl w:val="0"/>
          <w:numId w:val="4"/>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Виконавець вносить відповідні правки у Звіт, які будуть зазначені в протоколі НТР в термін до 15 календарних днів з дати складання Протоколу НТР.</w:t>
      </w:r>
    </w:p>
    <w:p w:rsidR="00DB7953" w:rsidRPr="00DB7953" w:rsidRDefault="00DB7953" w:rsidP="00DB7953">
      <w:pPr>
        <w:numPr>
          <w:ilvl w:val="0"/>
          <w:numId w:val="4"/>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Звіт з внесеними правками Виконавець направляє Замовнику.</w:t>
      </w:r>
    </w:p>
    <w:p w:rsidR="00DB7953" w:rsidRPr="00DB7953" w:rsidRDefault="00DB7953" w:rsidP="00DB7953">
      <w:pPr>
        <w:numPr>
          <w:ilvl w:val="0"/>
          <w:numId w:val="4"/>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Замовник подає Звіт на розгляд з метою оцінки запасів у ДКЗ.</w:t>
      </w:r>
    </w:p>
    <w:p w:rsidR="00DB7953" w:rsidRPr="00DB7953" w:rsidRDefault="00DB7953" w:rsidP="00DB7953">
      <w:pPr>
        <w:numPr>
          <w:ilvl w:val="0"/>
          <w:numId w:val="4"/>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Виконавець надає відповіді на зауваження експертів ДКЗ і у відповідності до зауважень вносить правки у Звіт.</w:t>
      </w:r>
    </w:p>
    <w:p w:rsidR="00DB7953" w:rsidRPr="00DB7953" w:rsidRDefault="00DB7953" w:rsidP="00DB7953">
      <w:pPr>
        <w:numPr>
          <w:ilvl w:val="0"/>
          <w:numId w:val="4"/>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Виконавець передає Замовнику остаточний варіант Звіту, про що складається відповідний Акт передачі Звіту, в наступній кількості:</w:t>
      </w:r>
    </w:p>
    <w:p w:rsidR="00DB7953" w:rsidRPr="00DB7953" w:rsidRDefault="00DB7953" w:rsidP="00DB7953">
      <w:pPr>
        <w:numPr>
          <w:ilvl w:val="0"/>
          <w:numId w:val="4"/>
        </w:numPr>
        <w:spacing w:after="0" w:line="240" w:lineRule="auto"/>
        <w:ind w:left="2127" w:hanging="357"/>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 xml:space="preserve">3 (три) паперових екземпляри звіту, який буде представлений двома книгами та папкою в твердій </w:t>
      </w:r>
      <w:proofErr w:type="spellStart"/>
      <w:r w:rsidRPr="00DB7953">
        <w:rPr>
          <w:rFonts w:ascii="Times New Roman" w:eastAsiaTheme="minorHAnsi" w:hAnsi="Times New Roman"/>
          <w:sz w:val="24"/>
          <w:szCs w:val="24"/>
        </w:rPr>
        <w:t>політурці</w:t>
      </w:r>
      <w:proofErr w:type="spellEnd"/>
      <w:r w:rsidRPr="00DB7953">
        <w:rPr>
          <w:rFonts w:ascii="Times New Roman" w:eastAsiaTheme="minorHAnsi" w:hAnsi="Times New Roman"/>
          <w:sz w:val="24"/>
          <w:szCs w:val="24"/>
        </w:rPr>
        <w:t xml:space="preserve"> (Книга 1 – текст, Книга 2 – текстові додатки, Папка – графічні додатки);</w:t>
      </w:r>
      <w:bookmarkStart w:id="0" w:name="_GoBack"/>
      <w:bookmarkEnd w:id="0"/>
    </w:p>
    <w:p w:rsidR="00DB7953" w:rsidRPr="00DB7953" w:rsidRDefault="00DB7953" w:rsidP="00DB7953">
      <w:pPr>
        <w:numPr>
          <w:ilvl w:val="0"/>
          <w:numId w:val="4"/>
        </w:numPr>
        <w:spacing w:after="0" w:line="240" w:lineRule="auto"/>
        <w:ind w:left="2127" w:hanging="357"/>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lastRenderedPageBreak/>
        <w:t>2 (два) екземпляри на електронному носії.</w:t>
      </w:r>
    </w:p>
    <w:p w:rsidR="00DB7953" w:rsidRPr="00DB7953" w:rsidRDefault="00DB7953" w:rsidP="00DB7953">
      <w:pPr>
        <w:numPr>
          <w:ilvl w:val="0"/>
          <w:numId w:val="4"/>
        </w:numPr>
        <w:spacing w:after="0" w:line="240" w:lineRule="auto"/>
        <w:contextualSpacing/>
        <w:jc w:val="both"/>
        <w:rPr>
          <w:rFonts w:ascii="Times New Roman" w:eastAsiaTheme="minorHAnsi" w:hAnsi="Times New Roman"/>
          <w:sz w:val="24"/>
          <w:szCs w:val="24"/>
        </w:rPr>
      </w:pPr>
      <w:r w:rsidRPr="00DB7953">
        <w:rPr>
          <w:rFonts w:ascii="Times New Roman" w:eastAsiaTheme="minorHAnsi" w:hAnsi="Times New Roman"/>
          <w:sz w:val="24"/>
          <w:szCs w:val="24"/>
        </w:rPr>
        <w:t>Представники Виконавця та Замовника приймають участь у засіданні комісії ДКЗ та проводять доповіді на ній.</w:t>
      </w:r>
    </w:p>
    <w:p w:rsidR="009B5750" w:rsidRPr="009B5750" w:rsidRDefault="009B5750" w:rsidP="00C42E49">
      <w:pPr>
        <w:spacing w:after="0" w:line="240" w:lineRule="auto"/>
        <w:ind w:firstLineChars="354" w:firstLine="850"/>
        <w:rPr>
          <w:rFonts w:ascii="Times New Roman" w:eastAsiaTheme="minorHAnsi" w:hAnsi="Times New Roman"/>
          <w:sz w:val="24"/>
          <w:szCs w:val="24"/>
        </w:rPr>
      </w:pPr>
    </w:p>
    <w:p w:rsidR="00B5602E" w:rsidRPr="00B5602E" w:rsidRDefault="00B5602E" w:rsidP="00B5602E">
      <w:pPr>
        <w:shd w:val="clear" w:color="auto" w:fill="FFFFFF"/>
        <w:spacing w:after="123" w:line="240" w:lineRule="auto"/>
        <w:jc w:val="both"/>
        <w:rPr>
          <w:rFonts w:ascii="Times New Roman" w:hAnsi="Times New Roman"/>
          <w:b/>
          <w:bCs/>
          <w:sz w:val="24"/>
          <w:szCs w:val="24"/>
          <w:lang w:eastAsia="ru-RU"/>
        </w:rPr>
      </w:pPr>
      <w:r w:rsidRPr="00B5602E">
        <w:rPr>
          <w:rFonts w:ascii="Times New Roman" w:hAnsi="Times New Roman"/>
          <w:b/>
          <w:bCs/>
          <w:sz w:val="24"/>
          <w:szCs w:val="24"/>
          <w:lang w:eastAsia="ru-RU"/>
        </w:rPr>
        <w:t>Очікувана вартість та обґрунтування очікуваної вартості предмета закупівлі:</w:t>
      </w:r>
    </w:p>
    <w:p w:rsidR="00B5602E" w:rsidRPr="00B5602E" w:rsidRDefault="00B5602E" w:rsidP="00B5602E">
      <w:pPr>
        <w:shd w:val="clear" w:color="auto" w:fill="FFFFFF"/>
        <w:spacing w:after="123" w:line="240" w:lineRule="auto"/>
        <w:jc w:val="both"/>
        <w:rPr>
          <w:rFonts w:ascii="Times New Roman" w:hAnsi="Times New Roman"/>
          <w:sz w:val="24"/>
          <w:szCs w:val="24"/>
          <w:lang w:eastAsia="ru-RU"/>
        </w:rPr>
      </w:pPr>
      <w:r w:rsidRPr="00B5602E">
        <w:rPr>
          <w:rFonts w:ascii="Times New Roman" w:hAnsi="Times New Roman"/>
          <w:sz w:val="24"/>
          <w:szCs w:val="24"/>
          <w:lang w:val="ru-RU" w:eastAsia="ru-RU"/>
        </w:rPr>
        <w:t> </w:t>
      </w:r>
      <w:r w:rsidRPr="00B5602E">
        <w:rPr>
          <w:rFonts w:ascii="Times New Roman" w:hAnsi="Times New Roman"/>
          <w:sz w:val="24"/>
          <w:szCs w:val="24"/>
          <w:lang w:eastAsia="ru-RU"/>
        </w:rPr>
        <w:t>238000,00 грн.</w:t>
      </w:r>
    </w:p>
    <w:p w:rsidR="00B5602E" w:rsidRDefault="00B5602E" w:rsidP="00B5602E">
      <w:pPr>
        <w:shd w:val="clear" w:color="auto" w:fill="FFFFFF"/>
        <w:spacing w:after="123" w:line="240" w:lineRule="auto"/>
        <w:jc w:val="both"/>
        <w:rPr>
          <w:rFonts w:ascii="Times New Roman" w:hAnsi="Times New Roman"/>
          <w:b/>
          <w:bCs/>
          <w:sz w:val="24"/>
          <w:szCs w:val="24"/>
        </w:rPr>
      </w:pPr>
      <w:r w:rsidRPr="00B5602E">
        <w:rPr>
          <w:rFonts w:ascii="Times New Roman" w:hAnsi="Times New Roman"/>
          <w:sz w:val="24"/>
          <w:szCs w:val="24"/>
          <w:shd w:val="clear" w:color="auto" w:fill="FFFFFF"/>
        </w:rPr>
        <w:t>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послуги</w:t>
      </w:r>
      <w:r w:rsidRPr="00B5602E">
        <w:rPr>
          <w:rFonts w:ascii="Times New Roman" w:hAnsi="Times New Roman"/>
          <w:sz w:val="24"/>
          <w:szCs w:val="24"/>
          <w:lang w:eastAsia="ru-RU"/>
        </w:rPr>
        <w:t xml:space="preserve"> з відповідними технічними характеристиками</w:t>
      </w:r>
      <w:r w:rsidRPr="00B5602E">
        <w:rPr>
          <w:rFonts w:ascii="Times New Roman" w:hAnsi="Times New Roman"/>
          <w:sz w:val="24"/>
          <w:szCs w:val="24"/>
          <w:shd w:val="clear" w:color="auto" w:fill="FFFFFF"/>
        </w:rPr>
        <w:t xml:space="preserve">, яка міститься у відкритих джерелах </w:t>
      </w:r>
      <w:r>
        <w:rPr>
          <w:rFonts w:ascii="Times New Roman" w:hAnsi="Times New Roman"/>
          <w:color w:val="333333"/>
          <w:sz w:val="24"/>
          <w:szCs w:val="24"/>
          <w:shd w:val="clear" w:color="auto" w:fill="FFFFFF"/>
        </w:rPr>
        <w:t>.</w:t>
      </w:r>
    </w:p>
    <w:p w:rsidR="003C32D1" w:rsidRPr="00B5602E" w:rsidRDefault="003C32D1" w:rsidP="00B5602E">
      <w:pPr>
        <w:spacing w:after="0" w:line="240" w:lineRule="auto"/>
        <w:jc w:val="both"/>
        <w:rPr>
          <w:sz w:val="24"/>
          <w:szCs w:val="24"/>
        </w:rPr>
      </w:pPr>
    </w:p>
    <w:sectPr w:rsidR="003C32D1" w:rsidRPr="00B560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E08"/>
    <w:multiLevelType w:val="multilevel"/>
    <w:tmpl w:val="E372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B2FC3"/>
    <w:multiLevelType w:val="hybridMultilevel"/>
    <w:tmpl w:val="32FAEC0A"/>
    <w:lvl w:ilvl="0" w:tplc="C174F8EC">
      <w:start w:val="1"/>
      <w:numFmt w:val="decimal"/>
      <w:lvlText w:val="%1."/>
      <w:lvlJc w:val="left"/>
      <w:pPr>
        <w:ind w:left="1210" w:hanging="360"/>
      </w:pPr>
      <w:rPr>
        <w:rFonts w:hint="default"/>
      </w:rPr>
    </w:lvl>
    <w:lvl w:ilvl="1" w:tplc="04220019" w:tentative="1">
      <w:start w:val="1"/>
      <w:numFmt w:val="lowerLetter"/>
      <w:lvlText w:val="%2."/>
      <w:lvlJc w:val="left"/>
      <w:pPr>
        <w:ind w:left="1930" w:hanging="360"/>
      </w:pPr>
    </w:lvl>
    <w:lvl w:ilvl="2" w:tplc="0422001B" w:tentative="1">
      <w:start w:val="1"/>
      <w:numFmt w:val="lowerRoman"/>
      <w:lvlText w:val="%3."/>
      <w:lvlJc w:val="right"/>
      <w:pPr>
        <w:ind w:left="2650" w:hanging="180"/>
      </w:pPr>
    </w:lvl>
    <w:lvl w:ilvl="3" w:tplc="0422000F" w:tentative="1">
      <w:start w:val="1"/>
      <w:numFmt w:val="decimal"/>
      <w:lvlText w:val="%4."/>
      <w:lvlJc w:val="left"/>
      <w:pPr>
        <w:ind w:left="3370" w:hanging="360"/>
      </w:pPr>
    </w:lvl>
    <w:lvl w:ilvl="4" w:tplc="04220019" w:tentative="1">
      <w:start w:val="1"/>
      <w:numFmt w:val="lowerLetter"/>
      <w:lvlText w:val="%5."/>
      <w:lvlJc w:val="left"/>
      <w:pPr>
        <w:ind w:left="4090" w:hanging="360"/>
      </w:pPr>
    </w:lvl>
    <w:lvl w:ilvl="5" w:tplc="0422001B" w:tentative="1">
      <w:start w:val="1"/>
      <w:numFmt w:val="lowerRoman"/>
      <w:lvlText w:val="%6."/>
      <w:lvlJc w:val="right"/>
      <w:pPr>
        <w:ind w:left="4810" w:hanging="180"/>
      </w:pPr>
    </w:lvl>
    <w:lvl w:ilvl="6" w:tplc="0422000F" w:tentative="1">
      <w:start w:val="1"/>
      <w:numFmt w:val="decimal"/>
      <w:lvlText w:val="%7."/>
      <w:lvlJc w:val="left"/>
      <w:pPr>
        <w:ind w:left="5530" w:hanging="360"/>
      </w:pPr>
    </w:lvl>
    <w:lvl w:ilvl="7" w:tplc="04220019" w:tentative="1">
      <w:start w:val="1"/>
      <w:numFmt w:val="lowerLetter"/>
      <w:lvlText w:val="%8."/>
      <w:lvlJc w:val="left"/>
      <w:pPr>
        <w:ind w:left="6250" w:hanging="360"/>
      </w:pPr>
    </w:lvl>
    <w:lvl w:ilvl="8" w:tplc="0422001B" w:tentative="1">
      <w:start w:val="1"/>
      <w:numFmt w:val="lowerRoman"/>
      <w:lvlText w:val="%9."/>
      <w:lvlJc w:val="right"/>
      <w:pPr>
        <w:ind w:left="6970" w:hanging="180"/>
      </w:pPr>
    </w:lvl>
  </w:abstractNum>
  <w:abstractNum w:abstractNumId="2">
    <w:nsid w:val="2D067136"/>
    <w:multiLevelType w:val="hybridMultilevel"/>
    <w:tmpl w:val="47DAE5C2"/>
    <w:lvl w:ilvl="0" w:tplc="848C7BC2">
      <w:start w:val="2"/>
      <w:numFmt w:val="bullet"/>
      <w:lvlText w:val="-"/>
      <w:lvlJc w:val="left"/>
      <w:pPr>
        <w:ind w:left="1210" w:hanging="360"/>
      </w:pPr>
      <w:rPr>
        <w:rFonts w:ascii="Times New Roman" w:eastAsiaTheme="minorHAnsi" w:hAnsi="Times New Roman" w:cs="Times New Roman" w:hint="default"/>
      </w:rPr>
    </w:lvl>
    <w:lvl w:ilvl="1" w:tplc="04220003" w:tentative="1">
      <w:start w:val="1"/>
      <w:numFmt w:val="bullet"/>
      <w:lvlText w:val="o"/>
      <w:lvlJc w:val="left"/>
      <w:pPr>
        <w:ind w:left="1930" w:hanging="360"/>
      </w:pPr>
      <w:rPr>
        <w:rFonts w:ascii="Courier New" w:hAnsi="Courier New" w:cs="Courier New" w:hint="default"/>
      </w:rPr>
    </w:lvl>
    <w:lvl w:ilvl="2" w:tplc="04220005" w:tentative="1">
      <w:start w:val="1"/>
      <w:numFmt w:val="bullet"/>
      <w:lvlText w:val=""/>
      <w:lvlJc w:val="left"/>
      <w:pPr>
        <w:ind w:left="2650" w:hanging="360"/>
      </w:pPr>
      <w:rPr>
        <w:rFonts w:ascii="Wingdings" w:hAnsi="Wingdings" w:hint="default"/>
      </w:rPr>
    </w:lvl>
    <w:lvl w:ilvl="3" w:tplc="04220001" w:tentative="1">
      <w:start w:val="1"/>
      <w:numFmt w:val="bullet"/>
      <w:lvlText w:val=""/>
      <w:lvlJc w:val="left"/>
      <w:pPr>
        <w:ind w:left="3370" w:hanging="360"/>
      </w:pPr>
      <w:rPr>
        <w:rFonts w:ascii="Symbol" w:hAnsi="Symbol" w:hint="default"/>
      </w:rPr>
    </w:lvl>
    <w:lvl w:ilvl="4" w:tplc="04220003" w:tentative="1">
      <w:start w:val="1"/>
      <w:numFmt w:val="bullet"/>
      <w:lvlText w:val="o"/>
      <w:lvlJc w:val="left"/>
      <w:pPr>
        <w:ind w:left="4090" w:hanging="360"/>
      </w:pPr>
      <w:rPr>
        <w:rFonts w:ascii="Courier New" w:hAnsi="Courier New" w:cs="Courier New" w:hint="default"/>
      </w:rPr>
    </w:lvl>
    <w:lvl w:ilvl="5" w:tplc="04220005" w:tentative="1">
      <w:start w:val="1"/>
      <w:numFmt w:val="bullet"/>
      <w:lvlText w:val=""/>
      <w:lvlJc w:val="left"/>
      <w:pPr>
        <w:ind w:left="4810" w:hanging="360"/>
      </w:pPr>
      <w:rPr>
        <w:rFonts w:ascii="Wingdings" w:hAnsi="Wingdings" w:hint="default"/>
      </w:rPr>
    </w:lvl>
    <w:lvl w:ilvl="6" w:tplc="04220001" w:tentative="1">
      <w:start w:val="1"/>
      <w:numFmt w:val="bullet"/>
      <w:lvlText w:val=""/>
      <w:lvlJc w:val="left"/>
      <w:pPr>
        <w:ind w:left="5530" w:hanging="360"/>
      </w:pPr>
      <w:rPr>
        <w:rFonts w:ascii="Symbol" w:hAnsi="Symbol" w:hint="default"/>
      </w:rPr>
    </w:lvl>
    <w:lvl w:ilvl="7" w:tplc="04220003" w:tentative="1">
      <w:start w:val="1"/>
      <w:numFmt w:val="bullet"/>
      <w:lvlText w:val="o"/>
      <w:lvlJc w:val="left"/>
      <w:pPr>
        <w:ind w:left="6250" w:hanging="360"/>
      </w:pPr>
      <w:rPr>
        <w:rFonts w:ascii="Courier New" w:hAnsi="Courier New" w:cs="Courier New" w:hint="default"/>
      </w:rPr>
    </w:lvl>
    <w:lvl w:ilvl="8" w:tplc="04220005" w:tentative="1">
      <w:start w:val="1"/>
      <w:numFmt w:val="bullet"/>
      <w:lvlText w:val=""/>
      <w:lvlJc w:val="left"/>
      <w:pPr>
        <w:ind w:left="6970" w:hanging="360"/>
      </w:pPr>
      <w:rPr>
        <w:rFonts w:ascii="Wingdings" w:hAnsi="Wingdings" w:hint="default"/>
      </w:rPr>
    </w:lvl>
  </w:abstractNum>
  <w:abstractNum w:abstractNumId="3">
    <w:nsid w:val="6C7629C4"/>
    <w:multiLevelType w:val="hybridMultilevel"/>
    <w:tmpl w:val="20884592"/>
    <w:lvl w:ilvl="0" w:tplc="1048DC76">
      <w:start w:val="1"/>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D1"/>
    <w:rsid w:val="003C32D1"/>
    <w:rsid w:val="00682DDD"/>
    <w:rsid w:val="009B5750"/>
    <w:rsid w:val="009B6E44"/>
    <w:rsid w:val="00B5602E"/>
    <w:rsid w:val="00BC30FF"/>
    <w:rsid w:val="00C42E49"/>
    <w:rsid w:val="00DB79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2D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2D1"/>
    <w:pPr>
      <w:spacing w:before="100" w:beforeAutospacing="1" w:after="100" w:afterAutospacing="1" w:line="240" w:lineRule="auto"/>
    </w:pPr>
    <w:rPr>
      <w:rFonts w:ascii="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2D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2D1"/>
    <w:pPr>
      <w:spacing w:before="100" w:beforeAutospacing="1" w:after="100" w:afterAutospacing="1" w:line="240" w:lineRule="auto"/>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417D0-49A2-4783-BE6E-9F7BF7AD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4429</Words>
  <Characters>2526</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cp:lastPrinted>2024-02-12T08:46:00Z</cp:lastPrinted>
  <dcterms:created xsi:type="dcterms:W3CDTF">2024-02-12T07:49:00Z</dcterms:created>
  <dcterms:modified xsi:type="dcterms:W3CDTF">2024-03-05T07:26:00Z</dcterms:modified>
</cp:coreProperties>
</file>