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C7F60">
        <w:rPr>
          <w:rFonts w:ascii="Times New Roman" w:hAnsi="Times New Roman" w:cs="Times New Roman"/>
          <w:sz w:val="28"/>
          <w:szCs w:val="28"/>
        </w:rPr>
        <w:t>№304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F6334">
        <w:rPr>
          <w:rFonts w:ascii="Times New Roman" w:hAnsi="Times New Roman" w:cs="Times New Roman"/>
          <w:sz w:val="28"/>
          <w:szCs w:val="28"/>
        </w:rPr>
        <w:t xml:space="preserve">надання дозволу на </w:t>
      </w:r>
      <w:r w:rsidR="000C7F60">
        <w:rPr>
          <w:rFonts w:ascii="Times New Roman" w:hAnsi="Times New Roman" w:cs="Times New Roman"/>
          <w:sz w:val="28"/>
          <w:szCs w:val="28"/>
        </w:rPr>
        <w:t>передачу основного засобу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0C7F60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Благоустрій-Р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0C7F60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ЦРЛ»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2023-08-31T11:58:00Z</dcterms:created>
  <dcterms:modified xsi:type="dcterms:W3CDTF">2023-08-31T11:58:00Z</dcterms:modified>
</cp:coreProperties>
</file>