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6E0C1C">
        <w:rPr>
          <w:rFonts w:ascii="Times New Roman" w:hAnsi="Times New Roman" w:cs="Times New Roman"/>
          <w:sz w:val="28"/>
          <w:szCs w:val="28"/>
        </w:rPr>
        <w:t>№303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F6334">
        <w:rPr>
          <w:rFonts w:ascii="Times New Roman" w:hAnsi="Times New Roman" w:cs="Times New Roman"/>
          <w:sz w:val="28"/>
          <w:szCs w:val="28"/>
        </w:rPr>
        <w:t xml:space="preserve">надання дозволу на </w:t>
      </w:r>
      <w:r w:rsidR="006E0C1C">
        <w:rPr>
          <w:rFonts w:ascii="Times New Roman" w:hAnsi="Times New Roman" w:cs="Times New Roman"/>
          <w:sz w:val="28"/>
          <w:szCs w:val="28"/>
        </w:rPr>
        <w:t>газифікацію будинку садибного типу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95D4C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6E0C1C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Білик Володимир Миколайович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2023-08-31T11:56:00Z</dcterms:created>
  <dcterms:modified xsi:type="dcterms:W3CDTF">2023-08-31T11:56:00Z</dcterms:modified>
</cp:coreProperties>
</file>