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A5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ПОЯСНЮВАЛЬНА ЗАПИС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E00A5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виконвчого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FE00A5" w:rsidRPr="0034157A" w:rsidRDefault="00FE00A5" w:rsidP="00FE00A5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53558C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«</w:t>
      </w:r>
      <w:r w:rsidRPr="0034157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Звіт про виконання  бюджету  </w:t>
      </w:r>
      <w:proofErr w:type="spellStart"/>
      <w:r w:rsidRPr="0034157A">
        <w:rPr>
          <w:rFonts w:ascii="Times New Roman" w:hAnsi="Times New Roman" w:cs="Times New Roman"/>
          <w:sz w:val="28"/>
          <w:szCs w:val="28"/>
          <w:lang w:val="uk-UA" w:eastAsia="en-US"/>
        </w:rPr>
        <w:t>Рогатинської</w:t>
      </w:r>
      <w:proofErr w:type="spellEnd"/>
      <w:r w:rsidRPr="0034157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міської територіальної</w:t>
      </w:r>
    </w:p>
    <w:p w:rsidR="00FE00A5" w:rsidRPr="00AA046D" w:rsidRDefault="00FE00A5" w:rsidP="00FE00A5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громади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за І півріччя </w:t>
      </w:r>
      <w:r w:rsidRPr="00AE23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202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3</w:t>
      </w:r>
      <w:r w:rsidRPr="00AE235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</w:p>
    <w:p w:rsidR="00FE00A5" w:rsidRPr="00AA046D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72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AA04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1. Обґрунтування необхідності прийняття рішення.</w:t>
      </w:r>
    </w:p>
    <w:p w:rsidR="00FE00A5" w:rsidRDefault="00FE00A5" w:rsidP="00FE00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Підготовка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и- це</w:t>
      </w:r>
      <w:r w:rsidRPr="00432FBE">
        <w:rPr>
          <w:lang w:val="uk-UA"/>
        </w:rPr>
        <w:t xml:space="preserve"> </w:t>
      </w:r>
      <w:r w:rsidRPr="00432F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дотримання вимог бюджетного законодавства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432F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432F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підготовлено відповідно до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28,</w:t>
      </w:r>
      <w:r w:rsidRPr="008F2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 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ст.14,</w:t>
      </w:r>
      <w:r w:rsidRPr="008F2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72,</w:t>
      </w:r>
      <w:r w:rsidRPr="008F2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F2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80</w:t>
      </w:r>
      <w:r w:rsidRPr="00617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Бюджетного  кодексу України. </w:t>
      </w:r>
    </w:p>
    <w:p w:rsidR="00FE00A5" w:rsidRDefault="00FE00A5" w:rsidP="00FE00A5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B95C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Мета і шляхи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її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FE00A5" w:rsidRPr="00EF4E0B" w:rsidRDefault="00FE00A5" w:rsidP="00FE00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Звіт про виконання бюджету </w:t>
      </w:r>
      <w:proofErr w:type="spellStart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 територіальної громади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півріччя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оку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розроблено з метою звітування перед громадою про хід виконання бюджету. В проекті рішення враховано аналіз виконання доходної та видаткової частини місцевого бюджету, визначено напрямки спрямування, наявного фінансового ресурсу міського бюджету протягом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півріччя 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року.</w:t>
      </w:r>
    </w:p>
    <w:p w:rsidR="00FE00A5" w:rsidRPr="00EF4E0B" w:rsidRDefault="00FE00A5" w:rsidP="00FE00A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4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3.Правові </w:t>
      </w:r>
      <w:proofErr w:type="spellStart"/>
      <w:r w:rsidRPr="00EF4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аспекти</w:t>
      </w:r>
      <w:proofErr w:type="spellEnd"/>
      <w:r w:rsidRPr="00EF4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E00A5" w:rsidRPr="00EF4E0B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 </w:t>
      </w:r>
      <w:proofErr w:type="spellStart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FE00A5" w:rsidRPr="00EF4E0B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EF4E0B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4E0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0A5" w:rsidRPr="00EF4E0B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EF4E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4E0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4E0B">
        <w:rPr>
          <w:rFonts w:ascii="Times New Roman" w:hAnsi="Times New Roman" w:cs="Times New Roman"/>
          <w:sz w:val="28"/>
          <w:szCs w:val="28"/>
        </w:rPr>
        <w:t xml:space="preserve"> </w:t>
      </w:r>
      <w:r w:rsidRPr="00EF4E0B">
        <w:rPr>
          <w:rFonts w:ascii="Times New Roman" w:hAnsi="Times New Roman" w:cs="Times New Roman"/>
          <w:sz w:val="28"/>
          <w:szCs w:val="28"/>
          <w:lang w:val="uk-UA"/>
        </w:rPr>
        <w:t>«П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F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EF4E0B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4E0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F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F4E0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00A5" w:rsidRPr="002478EF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</w:p>
    <w:p w:rsidR="00FE00A5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AA04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4. Фінансово-економічне обґрунтування.</w:t>
      </w:r>
    </w:p>
    <w:p w:rsidR="00FE00A5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FE00A5" w:rsidRPr="00EF4E0B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Цього року ситуація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наповненням міського бюджету, як і в минулому році 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складною, що пов’язано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продовженням</w:t>
      </w: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державі  воєнного стану. В цих умовах важливо забезпечити оперативне, належне та безперервне виконання місцевого бюджету для збереження ефективного функціонування бюджетної сфери, </w:t>
      </w:r>
      <w:proofErr w:type="spellStart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життєвонеобхідних</w:t>
      </w:r>
      <w:proofErr w:type="spellEnd"/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потреб  жителів  територіальної громади, а також внутрішньо переміщених осіб.</w:t>
      </w:r>
    </w:p>
    <w:p w:rsidR="00FE00A5" w:rsidRPr="00EF4E0B" w:rsidRDefault="00FE00A5" w:rsidP="00FE00A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4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В умовах обмежень та затверджених в період війни заходів з боку держави щодо підтримки платників податків, згідно з якими запроваджено низку податкових преференцій щодо розстрочення платежів, незастосування штрафних санкцій, списання пені, зменшення ставок податків тощо, бюджет міста втрачає значні ресурси наповнення доходів 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І півріччя 2023 року</w:t>
      </w:r>
      <w:r w:rsidRPr="005859CC">
        <w:rPr>
          <w:sz w:val="28"/>
          <w:szCs w:val="28"/>
        </w:rPr>
        <w:t xml:space="preserve"> до бюджету громади надійшло доходів до загального та спеціального фондів з урахуванням міжбюджетних трансфертів в сумі  </w:t>
      </w:r>
      <w:r>
        <w:rPr>
          <w:sz w:val="28"/>
          <w:szCs w:val="28"/>
          <w:lang w:val="ru-RU"/>
        </w:rPr>
        <w:t>167 514,1</w:t>
      </w:r>
      <w:r w:rsidRPr="005859CC">
        <w:rPr>
          <w:sz w:val="28"/>
          <w:szCs w:val="28"/>
        </w:rPr>
        <w:t xml:space="preserve">тис. грн. Офіційних трансфертів отримано –  </w:t>
      </w:r>
      <w:r>
        <w:rPr>
          <w:sz w:val="28"/>
          <w:szCs w:val="28"/>
        </w:rPr>
        <w:t>76 865,4</w:t>
      </w:r>
      <w:r w:rsidRPr="005859CC">
        <w:rPr>
          <w:sz w:val="28"/>
          <w:szCs w:val="28"/>
        </w:rPr>
        <w:t xml:space="preserve"> тис. грн., з них: </w:t>
      </w:r>
      <w:r>
        <w:rPr>
          <w:sz w:val="28"/>
          <w:szCs w:val="28"/>
        </w:rPr>
        <w:t>дотації з державного бюджету</w:t>
      </w:r>
      <w:r w:rsidRPr="005859CC">
        <w:rPr>
          <w:sz w:val="28"/>
          <w:szCs w:val="28"/>
        </w:rPr>
        <w:t xml:space="preserve"> – </w:t>
      </w:r>
      <w:r>
        <w:rPr>
          <w:sz w:val="28"/>
          <w:szCs w:val="28"/>
        </w:rPr>
        <w:t>22 004,0</w:t>
      </w:r>
      <w:r w:rsidRPr="005859CC">
        <w:rPr>
          <w:sz w:val="28"/>
          <w:szCs w:val="28"/>
        </w:rPr>
        <w:t xml:space="preserve"> тис. грн.,  освітня субвенція – </w:t>
      </w:r>
      <w:r>
        <w:rPr>
          <w:sz w:val="28"/>
          <w:szCs w:val="28"/>
        </w:rPr>
        <w:t>47 840,7</w:t>
      </w:r>
      <w:r w:rsidRPr="005859CC">
        <w:rPr>
          <w:sz w:val="28"/>
          <w:szCs w:val="28"/>
        </w:rPr>
        <w:t xml:space="preserve"> тис. грн.,  додаткова дотація – </w:t>
      </w:r>
      <w:r>
        <w:rPr>
          <w:sz w:val="28"/>
          <w:szCs w:val="28"/>
        </w:rPr>
        <w:t xml:space="preserve">1 048,7 </w:t>
      </w:r>
      <w:r w:rsidRPr="005859CC">
        <w:rPr>
          <w:sz w:val="28"/>
          <w:szCs w:val="28"/>
        </w:rPr>
        <w:t xml:space="preserve">тис. грн., субвенції з місцевих бюджетів – </w:t>
      </w:r>
      <w:r>
        <w:rPr>
          <w:sz w:val="28"/>
          <w:szCs w:val="28"/>
        </w:rPr>
        <w:t>5 972</w:t>
      </w:r>
      <w:r w:rsidRPr="005859CC">
        <w:rPr>
          <w:sz w:val="28"/>
          <w:szCs w:val="28"/>
        </w:rPr>
        <w:t xml:space="preserve"> тис. грн. 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      Ріст надходжень доходів (без урахування міжбюджетних трансфертів) до планових призначень по загальному фонду – </w:t>
      </w:r>
      <w:r>
        <w:rPr>
          <w:sz w:val="28"/>
          <w:szCs w:val="28"/>
        </w:rPr>
        <w:t>117,8</w:t>
      </w:r>
      <w:r w:rsidRPr="005859CC">
        <w:rPr>
          <w:sz w:val="28"/>
          <w:szCs w:val="28"/>
        </w:rPr>
        <w:t xml:space="preserve"> %. </w:t>
      </w:r>
    </w:p>
    <w:p w:rsidR="00FE00A5" w:rsidRPr="005859CC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9CC">
        <w:rPr>
          <w:sz w:val="28"/>
          <w:szCs w:val="28"/>
        </w:rPr>
        <w:t xml:space="preserve">В порівняні з аналогічним періодом минулого року власні доходи по загальному фонду  збільшились на </w:t>
      </w:r>
      <w:r>
        <w:rPr>
          <w:sz w:val="28"/>
          <w:szCs w:val="28"/>
        </w:rPr>
        <w:t>16,5</w:t>
      </w:r>
      <w:r w:rsidRPr="005859CC">
        <w:rPr>
          <w:sz w:val="28"/>
          <w:szCs w:val="28"/>
        </w:rPr>
        <w:t xml:space="preserve"> % або на </w:t>
      </w:r>
      <w:r>
        <w:rPr>
          <w:sz w:val="28"/>
          <w:szCs w:val="28"/>
        </w:rPr>
        <w:t>11 387,3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грн. 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lastRenderedPageBreak/>
        <w:t xml:space="preserve">         До загального фонду міського бюджету надійшло  </w:t>
      </w:r>
      <w:r>
        <w:rPr>
          <w:sz w:val="28"/>
          <w:szCs w:val="28"/>
        </w:rPr>
        <w:t>153 636,6</w:t>
      </w:r>
      <w:r w:rsidRPr="005859CC">
        <w:rPr>
          <w:sz w:val="28"/>
          <w:szCs w:val="28"/>
        </w:rPr>
        <w:t xml:space="preserve"> тис. грн., що на </w:t>
      </w:r>
      <w:r>
        <w:rPr>
          <w:sz w:val="28"/>
          <w:szCs w:val="28"/>
        </w:rPr>
        <w:t>12 087,4</w:t>
      </w:r>
      <w:r w:rsidRPr="005859CC">
        <w:rPr>
          <w:sz w:val="28"/>
          <w:szCs w:val="28"/>
        </w:rPr>
        <w:t xml:space="preserve"> тис. грн. більше до планованих надходжень (офіційних трансфертів – </w:t>
      </w:r>
      <w:r>
        <w:rPr>
          <w:sz w:val="28"/>
          <w:szCs w:val="28"/>
        </w:rPr>
        <w:t>73 165,4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грн. ), з них: власних доходів – </w:t>
      </w:r>
      <w:r>
        <w:rPr>
          <w:sz w:val="28"/>
          <w:szCs w:val="28"/>
        </w:rPr>
        <w:t>80 471,2</w:t>
      </w:r>
      <w:r w:rsidRPr="005859CC">
        <w:rPr>
          <w:sz w:val="28"/>
          <w:szCs w:val="28"/>
        </w:rPr>
        <w:t xml:space="preserve"> тис. грн.,  що на </w:t>
      </w:r>
      <w:r>
        <w:rPr>
          <w:sz w:val="28"/>
          <w:szCs w:val="28"/>
        </w:rPr>
        <w:t>12 168,5</w:t>
      </w:r>
      <w:r w:rsidRPr="005859CC">
        <w:rPr>
          <w:sz w:val="28"/>
          <w:szCs w:val="28"/>
        </w:rPr>
        <w:t xml:space="preserve"> тис. грн. більше до  планованих надходжень.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      Найвагомішим дохідним джерелом є </w:t>
      </w:r>
      <w:r>
        <w:rPr>
          <w:sz w:val="28"/>
          <w:szCs w:val="28"/>
        </w:rPr>
        <w:t>податок на доходи фізичних осіб,</w:t>
      </w:r>
      <w:r w:rsidRPr="005859CC">
        <w:rPr>
          <w:sz w:val="28"/>
          <w:szCs w:val="28"/>
        </w:rPr>
        <w:t xml:space="preserve"> </w:t>
      </w:r>
      <w:r>
        <w:rPr>
          <w:sz w:val="28"/>
          <w:szCs w:val="28"/>
        </w:rPr>
        <w:t>за звітний період якого отримано</w:t>
      </w:r>
      <w:r w:rsidRPr="005859C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47 940,0</w:t>
      </w:r>
      <w:r w:rsidRPr="005859CC">
        <w:rPr>
          <w:sz w:val="28"/>
          <w:szCs w:val="28"/>
        </w:rPr>
        <w:t xml:space="preserve"> тис. грн. Найбільшу питому вагу в надходженнях податку на доходи фізичних осіб займають надходження податку на доходи фізичних осіб, що сплачується податковими агентами, із доходів платника податку у вигляді заробітної плати – </w:t>
      </w:r>
      <w:r>
        <w:rPr>
          <w:sz w:val="28"/>
          <w:szCs w:val="28"/>
        </w:rPr>
        <w:t>78,2</w:t>
      </w:r>
      <w:r w:rsidRPr="005859CC">
        <w:rPr>
          <w:sz w:val="28"/>
          <w:szCs w:val="28"/>
        </w:rPr>
        <w:t xml:space="preserve"> %.  По даному виду надходжень надійшло  </w:t>
      </w:r>
      <w:r>
        <w:rPr>
          <w:sz w:val="28"/>
          <w:szCs w:val="28"/>
        </w:rPr>
        <w:t>37 471,8</w:t>
      </w:r>
      <w:r w:rsidRPr="005859CC">
        <w:rPr>
          <w:sz w:val="28"/>
          <w:szCs w:val="28"/>
        </w:rPr>
        <w:t xml:space="preserve"> тис. грн., виконання  становить </w:t>
      </w:r>
      <w:r>
        <w:rPr>
          <w:sz w:val="28"/>
          <w:szCs w:val="28"/>
        </w:rPr>
        <w:t>106,2</w:t>
      </w:r>
      <w:r w:rsidRPr="005859CC">
        <w:rPr>
          <w:sz w:val="28"/>
          <w:szCs w:val="28"/>
        </w:rPr>
        <w:t xml:space="preserve">  відсотка або на  </w:t>
      </w:r>
      <w:r>
        <w:rPr>
          <w:sz w:val="28"/>
          <w:szCs w:val="28"/>
        </w:rPr>
        <w:t>2 173,8</w:t>
      </w:r>
      <w:r w:rsidRPr="005859CC">
        <w:rPr>
          <w:sz w:val="28"/>
          <w:szCs w:val="28"/>
        </w:rPr>
        <w:t xml:space="preserve"> тис. грн. більше запланованих надходжень. </w:t>
      </w:r>
      <w:r w:rsidRPr="00CC04C9">
        <w:rPr>
          <w:sz w:val="28"/>
          <w:szCs w:val="28"/>
        </w:rPr>
        <w:t>Найбільшими</w:t>
      </w:r>
      <w:r w:rsidRPr="005859CC">
        <w:rPr>
          <w:sz w:val="28"/>
          <w:szCs w:val="28"/>
        </w:rPr>
        <w:t xml:space="preserve"> платниками податку на доходи найманих працівників є установи та організації бюджетної сфери (</w:t>
      </w:r>
      <w:r>
        <w:rPr>
          <w:sz w:val="28"/>
          <w:szCs w:val="28"/>
        </w:rPr>
        <w:t>5</w:t>
      </w:r>
      <w:r w:rsidRPr="005B1FB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%) та підприємства, такі як: ТОВ «ЗАХІД-АГРО МХП»  (фактична сплата </w:t>
      </w:r>
      <w:r>
        <w:rPr>
          <w:sz w:val="28"/>
          <w:szCs w:val="28"/>
        </w:rPr>
        <w:t>за І півріччя</w:t>
      </w:r>
      <w:r w:rsidRPr="005859CC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3 003,2</w:t>
      </w:r>
      <w:r w:rsidRPr="005859CC">
        <w:rPr>
          <w:sz w:val="28"/>
          <w:szCs w:val="28"/>
        </w:rPr>
        <w:t xml:space="preserve"> тис. грн.), АТ «Івано-</w:t>
      </w:r>
      <w:proofErr w:type="spellStart"/>
      <w:r w:rsidRPr="005859CC">
        <w:rPr>
          <w:sz w:val="28"/>
          <w:szCs w:val="28"/>
        </w:rPr>
        <w:t>Франківськгаз</w:t>
      </w:r>
      <w:proofErr w:type="spellEnd"/>
      <w:r w:rsidRPr="005859CC">
        <w:rPr>
          <w:sz w:val="28"/>
          <w:szCs w:val="28"/>
        </w:rPr>
        <w:t xml:space="preserve">» 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>1 126,4</w:t>
      </w:r>
      <w:r w:rsidRPr="005859CC">
        <w:rPr>
          <w:sz w:val="28"/>
          <w:szCs w:val="28"/>
        </w:rPr>
        <w:t xml:space="preserve"> тис. г</w:t>
      </w:r>
      <w:r>
        <w:rPr>
          <w:sz w:val="28"/>
          <w:szCs w:val="28"/>
        </w:rPr>
        <w:t>рн.), ТОВ Оператор</w:t>
      </w:r>
      <w:r w:rsidRPr="00585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ГТУ України </w:t>
      </w:r>
      <w:r w:rsidRPr="005859CC">
        <w:rPr>
          <w:sz w:val="28"/>
          <w:szCs w:val="28"/>
        </w:rPr>
        <w:t xml:space="preserve">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>772,3</w:t>
      </w:r>
      <w:r w:rsidRPr="005859CC">
        <w:rPr>
          <w:sz w:val="28"/>
          <w:szCs w:val="28"/>
        </w:rPr>
        <w:t xml:space="preserve"> тис. грн.), ТО</w:t>
      </w:r>
      <w:r>
        <w:rPr>
          <w:sz w:val="28"/>
          <w:szCs w:val="28"/>
        </w:rPr>
        <w:t xml:space="preserve">В «ЕЛІПС» (фактична сплата за І півріччя </w:t>
      </w:r>
      <w:r w:rsidRPr="005859CC">
        <w:rPr>
          <w:sz w:val="28"/>
          <w:szCs w:val="28"/>
        </w:rPr>
        <w:t>–</w:t>
      </w:r>
      <w:r>
        <w:rPr>
          <w:sz w:val="28"/>
          <w:szCs w:val="28"/>
        </w:rPr>
        <w:t xml:space="preserve"> 908,8 тис. грн.)</w:t>
      </w:r>
      <w:r w:rsidRPr="005859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Другим по питомій вазі надходжень складає </w:t>
      </w:r>
      <w:r w:rsidRPr="005859CC">
        <w:rPr>
          <w:sz w:val="28"/>
          <w:szCs w:val="28"/>
        </w:rPr>
        <w:t xml:space="preserve"> податок на доходи фізичних осіб з грошового забезпечення, грошових винагород та інших виплат, одержаних військово-службовцями та особами рядового і начальницького складу, що оплачується податковими агентами,</w:t>
      </w:r>
      <w:r w:rsidRPr="00BB4475">
        <w:t xml:space="preserve"> </w:t>
      </w:r>
      <w:r w:rsidRPr="00BB4475">
        <w:rPr>
          <w:sz w:val="28"/>
          <w:szCs w:val="28"/>
        </w:rPr>
        <w:t xml:space="preserve">надійшло </w:t>
      </w:r>
      <w:r>
        <w:rPr>
          <w:sz w:val="28"/>
          <w:szCs w:val="28"/>
        </w:rPr>
        <w:t>4 949,5</w:t>
      </w:r>
      <w:r w:rsidRPr="00BB4475">
        <w:rPr>
          <w:sz w:val="28"/>
          <w:szCs w:val="28"/>
        </w:rPr>
        <w:t xml:space="preserve"> тис. грн., </w:t>
      </w:r>
      <w:r w:rsidRPr="005859CC">
        <w:rPr>
          <w:sz w:val="28"/>
          <w:szCs w:val="28"/>
        </w:rPr>
        <w:t xml:space="preserve"> який становить  </w:t>
      </w:r>
      <w:r>
        <w:rPr>
          <w:sz w:val="28"/>
          <w:szCs w:val="28"/>
        </w:rPr>
        <w:t xml:space="preserve">10,3 </w:t>
      </w:r>
      <w:r w:rsidRPr="005859CC">
        <w:rPr>
          <w:sz w:val="28"/>
          <w:szCs w:val="28"/>
        </w:rPr>
        <w:t xml:space="preserve">%  надходжень податку на доходи фізичних осіб та на </w:t>
      </w:r>
      <w:r>
        <w:rPr>
          <w:sz w:val="28"/>
          <w:szCs w:val="28"/>
        </w:rPr>
        <w:t>678,7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>грн.</w:t>
      </w:r>
      <w:r>
        <w:rPr>
          <w:sz w:val="28"/>
          <w:szCs w:val="28"/>
        </w:rPr>
        <w:t xml:space="preserve"> більше</w:t>
      </w:r>
      <w:r w:rsidRPr="005859CC">
        <w:rPr>
          <w:sz w:val="28"/>
          <w:szCs w:val="28"/>
        </w:rPr>
        <w:t xml:space="preserve"> запланованих надходжень, виконання складає </w:t>
      </w:r>
      <w:r>
        <w:rPr>
          <w:sz w:val="28"/>
          <w:szCs w:val="28"/>
        </w:rPr>
        <w:t>115,9</w:t>
      </w:r>
      <w:r w:rsidRPr="005859CC">
        <w:rPr>
          <w:sz w:val="28"/>
          <w:szCs w:val="28"/>
        </w:rPr>
        <w:t xml:space="preserve"> %</w:t>
      </w:r>
      <w:r>
        <w:rPr>
          <w:sz w:val="28"/>
          <w:szCs w:val="28"/>
        </w:rPr>
        <w:t>. Ще одним джерелом податку фізичних осіб є</w:t>
      </w:r>
      <w:r w:rsidRPr="005859CC">
        <w:rPr>
          <w:sz w:val="28"/>
          <w:szCs w:val="28"/>
        </w:rPr>
        <w:t xml:space="preserve"> податок на доходи фізичних осіб, що сплачується податковими агентами, із доходів платника податку інших ніж заробітна плата (земельні паї). Його  за звітний період надійшло </w:t>
      </w:r>
      <w:r>
        <w:rPr>
          <w:sz w:val="28"/>
          <w:szCs w:val="28"/>
        </w:rPr>
        <w:t>4 687,1 тис. грн., що становить</w:t>
      </w:r>
      <w:r w:rsidRPr="005859CC">
        <w:rPr>
          <w:sz w:val="28"/>
          <w:szCs w:val="28"/>
        </w:rPr>
        <w:t xml:space="preserve"> </w:t>
      </w:r>
      <w:r>
        <w:rPr>
          <w:sz w:val="28"/>
          <w:szCs w:val="28"/>
        </w:rPr>
        <w:t>9,8</w:t>
      </w:r>
      <w:r w:rsidRPr="005859CC">
        <w:rPr>
          <w:sz w:val="28"/>
          <w:szCs w:val="28"/>
        </w:rPr>
        <w:t xml:space="preserve"> % надходжень податку на доходи фізичних осіб, та на </w:t>
      </w:r>
      <w:r>
        <w:rPr>
          <w:sz w:val="28"/>
          <w:szCs w:val="28"/>
        </w:rPr>
        <w:t xml:space="preserve">1 527,1 </w:t>
      </w:r>
      <w:r w:rsidRPr="005859CC">
        <w:rPr>
          <w:sz w:val="28"/>
          <w:szCs w:val="28"/>
        </w:rPr>
        <w:t>тис. грн. більше запланованих  надх</w:t>
      </w:r>
      <w:r>
        <w:rPr>
          <w:sz w:val="28"/>
          <w:szCs w:val="28"/>
        </w:rPr>
        <w:t>оджень.,  виконання складає – 148,3</w:t>
      </w:r>
      <w:r w:rsidRPr="005859CC">
        <w:rPr>
          <w:sz w:val="28"/>
          <w:szCs w:val="28"/>
        </w:rPr>
        <w:t xml:space="preserve"> %.  Найбільші платники, такі як: ТОВ «ЗАХІД-АГРО МХП» 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1 150,6 </w:t>
      </w:r>
      <w:r w:rsidRPr="005859CC">
        <w:rPr>
          <w:sz w:val="28"/>
          <w:szCs w:val="28"/>
        </w:rPr>
        <w:t>тис. грн.), ТОВ  «</w:t>
      </w:r>
      <w:r>
        <w:rPr>
          <w:sz w:val="28"/>
          <w:szCs w:val="28"/>
        </w:rPr>
        <w:t>ЕЛІПС</w:t>
      </w:r>
      <w:r w:rsidRPr="005859CC">
        <w:rPr>
          <w:sz w:val="28"/>
          <w:szCs w:val="28"/>
        </w:rPr>
        <w:t xml:space="preserve">» 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>1 095,9</w:t>
      </w:r>
      <w:r w:rsidRPr="005859CC">
        <w:rPr>
          <w:sz w:val="28"/>
          <w:szCs w:val="28"/>
        </w:rPr>
        <w:t xml:space="preserve"> тис. грн.), ТОВ «</w:t>
      </w:r>
      <w:proofErr w:type="spellStart"/>
      <w:r w:rsidRPr="005859CC">
        <w:rPr>
          <w:sz w:val="28"/>
          <w:szCs w:val="28"/>
        </w:rPr>
        <w:t>Прикарпатенерготрейд</w:t>
      </w:r>
      <w:proofErr w:type="spellEnd"/>
      <w:r w:rsidRPr="005859CC">
        <w:rPr>
          <w:sz w:val="28"/>
          <w:szCs w:val="28"/>
        </w:rPr>
        <w:t>» (фактична сплата</w:t>
      </w:r>
      <w:r>
        <w:rPr>
          <w:sz w:val="28"/>
          <w:szCs w:val="28"/>
        </w:rPr>
        <w:t xml:space="preserve"> з</w:t>
      </w:r>
      <w:r w:rsidRPr="005859CC">
        <w:rPr>
          <w:sz w:val="28"/>
          <w:szCs w:val="28"/>
        </w:rPr>
        <w:t xml:space="preserve">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 </w:t>
      </w:r>
      <w:r>
        <w:rPr>
          <w:sz w:val="28"/>
          <w:szCs w:val="28"/>
        </w:rPr>
        <w:t>1 772,5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грн.). </w:t>
      </w:r>
      <w:r w:rsidRPr="00BB4475">
        <w:rPr>
          <w:sz w:val="28"/>
          <w:szCs w:val="28"/>
        </w:rPr>
        <w:t>Податок на доходи фізичних осіб, що сплачується фізичними особами за результатами річного декларування</w:t>
      </w:r>
      <w:r w:rsidRPr="004164F3">
        <w:t xml:space="preserve"> </w:t>
      </w:r>
      <w:r w:rsidRPr="004164F3">
        <w:rPr>
          <w:sz w:val="28"/>
          <w:szCs w:val="28"/>
        </w:rPr>
        <w:t xml:space="preserve">надійшло </w:t>
      </w:r>
      <w:r>
        <w:rPr>
          <w:sz w:val="28"/>
          <w:szCs w:val="28"/>
        </w:rPr>
        <w:t xml:space="preserve">831,6 тис. грн., який становить  1,7 </w:t>
      </w:r>
      <w:r w:rsidRPr="00BB4475">
        <w:rPr>
          <w:sz w:val="28"/>
          <w:szCs w:val="28"/>
        </w:rPr>
        <w:t>%  надходжень податку на до</w:t>
      </w:r>
      <w:r>
        <w:rPr>
          <w:sz w:val="28"/>
          <w:szCs w:val="28"/>
        </w:rPr>
        <w:t>ходи фізичних осіб та на 384,1</w:t>
      </w:r>
      <w:r w:rsidRPr="00BB4475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BB4475">
        <w:rPr>
          <w:sz w:val="28"/>
          <w:szCs w:val="28"/>
        </w:rPr>
        <w:t xml:space="preserve">грн. більше запланованих надходжень, виконання складає </w:t>
      </w:r>
      <w:r>
        <w:rPr>
          <w:sz w:val="28"/>
          <w:szCs w:val="28"/>
        </w:rPr>
        <w:t>185,8</w:t>
      </w:r>
      <w:r w:rsidRPr="00BB4475">
        <w:rPr>
          <w:sz w:val="28"/>
          <w:szCs w:val="28"/>
        </w:rPr>
        <w:t xml:space="preserve"> %.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Рентної плати та плата за використання інших природних ресурсів надійшло </w:t>
      </w:r>
      <w:r>
        <w:rPr>
          <w:sz w:val="28"/>
          <w:szCs w:val="28"/>
        </w:rPr>
        <w:t>163,3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грн. що складає </w:t>
      </w:r>
      <w:r>
        <w:rPr>
          <w:sz w:val="28"/>
          <w:szCs w:val="28"/>
        </w:rPr>
        <w:t xml:space="preserve">75,1 </w:t>
      </w:r>
      <w:r w:rsidRPr="005859CC">
        <w:rPr>
          <w:sz w:val="28"/>
          <w:szCs w:val="28"/>
        </w:rPr>
        <w:t>%  до планових призначень звітного періоду.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Внутрішні податки на товари та послуги  склали </w:t>
      </w:r>
      <w:r>
        <w:rPr>
          <w:sz w:val="28"/>
          <w:szCs w:val="28"/>
        </w:rPr>
        <w:t xml:space="preserve"> 5 327,2</w:t>
      </w:r>
      <w:r w:rsidRPr="005859CC">
        <w:rPr>
          <w:sz w:val="28"/>
          <w:szCs w:val="28"/>
        </w:rPr>
        <w:t xml:space="preserve"> тис. грн., виконання за звітний період становить  </w:t>
      </w:r>
      <w:r>
        <w:rPr>
          <w:sz w:val="28"/>
          <w:szCs w:val="28"/>
        </w:rPr>
        <w:t>103,6</w:t>
      </w:r>
      <w:r w:rsidRPr="005859CC">
        <w:rPr>
          <w:sz w:val="28"/>
          <w:szCs w:val="28"/>
        </w:rPr>
        <w:t xml:space="preserve"> % або на </w:t>
      </w:r>
      <w:r>
        <w:rPr>
          <w:sz w:val="28"/>
          <w:szCs w:val="28"/>
        </w:rPr>
        <w:t>185,2</w:t>
      </w:r>
      <w:r w:rsidRPr="005859CC">
        <w:rPr>
          <w:sz w:val="28"/>
          <w:szCs w:val="28"/>
        </w:rPr>
        <w:t xml:space="preserve"> тис. грн. </w:t>
      </w:r>
      <w:r>
        <w:rPr>
          <w:sz w:val="28"/>
          <w:szCs w:val="28"/>
        </w:rPr>
        <w:t>більше</w:t>
      </w:r>
      <w:r w:rsidRPr="005859CC">
        <w:rPr>
          <w:sz w:val="28"/>
          <w:szCs w:val="28"/>
        </w:rPr>
        <w:t xml:space="preserve"> запланованих показників.  За звітний період до бюджету громади надійшов акцизний податок з ввезених на митну територію України підакцизних товарів (пальне) в сумі </w:t>
      </w:r>
      <w:r>
        <w:rPr>
          <w:sz w:val="28"/>
          <w:szCs w:val="28"/>
        </w:rPr>
        <w:t xml:space="preserve">2 839,6 </w:t>
      </w:r>
      <w:r w:rsidRPr="005859CC">
        <w:rPr>
          <w:sz w:val="28"/>
          <w:szCs w:val="28"/>
        </w:rPr>
        <w:t xml:space="preserve">тис. грн. та акцизний податок з вироблених в Україні підакцизних товарів (пальне) – </w:t>
      </w:r>
      <w:r>
        <w:rPr>
          <w:sz w:val="28"/>
          <w:szCs w:val="28"/>
        </w:rPr>
        <w:t>670,1</w:t>
      </w:r>
      <w:r w:rsidRPr="005859CC">
        <w:rPr>
          <w:sz w:val="28"/>
          <w:szCs w:val="28"/>
        </w:rPr>
        <w:t xml:space="preserve"> тис. грн. </w:t>
      </w:r>
      <w:r>
        <w:rPr>
          <w:sz w:val="28"/>
          <w:szCs w:val="28"/>
        </w:rPr>
        <w:t xml:space="preserve">Акцизного податку з реалізації виробниками та/або імпортерами, у тому числі в роздрібній торгівлі тютюнових виробів, тютюну та промислових замінників тютюну, рідини, що використовується в </w:t>
      </w:r>
      <w:proofErr w:type="spellStart"/>
      <w:r>
        <w:rPr>
          <w:sz w:val="28"/>
          <w:szCs w:val="28"/>
        </w:rPr>
        <w:t>електонних</w:t>
      </w:r>
      <w:proofErr w:type="spellEnd"/>
      <w:r>
        <w:rPr>
          <w:sz w:val="28"/>
          <w:szCs w:val="28"/>
        </w:rPr>
        <w:t xml:space="preserve"> сигаретах, що оподатковується згідно з підпунктом 213.1.14  за звітний період </w:t>
      </w:r>
      <w:r>
        <w:rPr>
          <w:sz w:val="28"/>
          <w:szCs w:val="28"/>
        </w:rPr>
        <w:lastRenderedPageBreak/>
        <w:t>надійшло- 939,5 тис. грн.</w:t>
      </w:r>
      <w:r w:rsidRPr="005859CC">
        <w:rPr>
          <w:sz w:val="28"/>
          <w:szCs w:val="28"/>
        </w:rPr>
        <w:t xml:space="preserve"> </w:t>
      </w:r>
      <w:r w:rsidRPr="00C9017E">
        <w:rPr>
          <w:sz w:val="28"/>
          <w:szCs w:val="28"/>
        </w:rPr>
        <w:t>Акцизний</w:t>
      </w:r>
      <w:r w:rsidRPr="005859CC">
        <w:rPr>
          <w:sz w:val="28"/>
          <w:szCs w:val="28"/>
        </w:rPr>
        <w:t xml:space="preserve"> податок з реалізації суб`єктами господарювання роздрібної торгівлі підакцизних товарів(</w:t>
      </w:r>
      <w:r>
        <w:rPr>
          <w:sz w:val="28"/>
          <w:szCs w:val="28"/>
        </w:rPr>
        <w:t>крім тих, що оподатковується згідно з підпунктом 213.1.14. пункту 213.1 статті 213 Податкового кодексу України) –</w:t>
      </w:r>
      <w:r w:rsidRPr="00585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878,0 </w:t>
      </w:r>
      <w:r w:rsidRPr="005859CC">
        <w:rPr>
          <w:sz w:val="28"/>
          <w:szCs w:val="28"/>
        </w:rPr>
        <w:t xml:space="preserve"> тис. грн. Найбільші платники, такі як: ТОВ «АТБ-маркет» (фактична сплата за </w:t>
      </w:r>
      <w:r>
        <w:rPr>
          <w:sz w:val="28"/>
          <w:szCs w:val="28"/>
        </w:rPr>
        <w:t>І півріччя – 302,7 тис. грн.), ТзОВ ТВК «</w:t>
      </w:r>
      <w:proofErr w:type="spellStart"/>
      <w:r>
        <w:rPr>
          <w:sz w:val="28"/>
          <w:szCs w:val="28"/>
        </w:rPr>
        <w:t>Львівхолод</w:t>
      </w:r>
      <w:proofErr w:type="spellEnd"/>
      <w:r>
        <w:rPr>
          <w:sz w:val="28"/>
          <w:szCs w:val="28"/>
        </w:rPr>
        <w:t xml:space="preserve">» </w:t>
      </w:r>
      <w:r w:rsidRPr="005859CC">
        <w:rPr>
          <w:sz w:val="28"/>
          <w:szCs w:val="28"/>
        </w:rPr>
        <w:t xml:space="preserve">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 </w:t>
      </w:r>
      <w:r>
        <w:rPr>
          <w:sz w:val="28"/>
          <w:szCs w:val="28"/>
        </w:rPr>
        <w:t>109,3</w:t>
      </w:r>
      <w:r w:rsidRPr="005859CC">
        <w:rPr>
          <w:sz w:val="28"/>
          <w:szCs w:val="28"/>
        </w:rPr>
        <w:t xml:space="preserve"> тис. грн.).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  Ще одним джерелом </w:t>
      </w:r>
      <w:r>
        <w:rPr>
          <w:sz w:val="28"/>
          <w:szCs w:val="28"/>
        </w:rPr>
        <w:t xml:space="preserve">наповнення </w:t>
      </w:r>
      <w:r w:rsidRPr="005859CC">
        <w:rPr>
          <w:sz w:val="28"/>
          <w:szCs w:val="28"/>
        </w:rPr>
        <w:t xml:space="preserve">міського бюджету є податок на майно . Надходження даного платежу склали  </w:t>
      </w:r>
      <w:r>
        <w:rPr>
          <w:sz w:val="28"/>
          <w:szCs w:val="28"/>
        </w:rPr>
        <w:t>11 209,4</w:t>
      </w:r>
      <w:r w:rsidRPr="005859CC">
        <w:rPr>
          <w:sz w:val="28"/>
          <w:szCs w:val="28"/>
        </w:rPr>
        <w:t xml:space="preserve">  тис. грн.,</w:t>
      </w:r>
      <w:r w:rsidRPr="004164F3">
        <w:t xml:space="preserve"> </w:t>
      </w:r>
      <w:r w:rsidRPr="004164F3">
        <w:rPr>
          <w:sz w:val="28"/>
          <w:szCs w:val="28"/>
        </w:rPr>
        <w:t xml:space="preserve">виконання становить </w:t>
      </w:r>
      <w:r>
        <w:rPr>
          <w:sz w:val="28"/>
          <w:szCs w:val="28"/>
        </w:rPr>
        <w:t>136</w:t>
      </w:r>
      <w:r w:rsidRPr="004164F3">
        <w:rPr>
          <w:sz w:val="28"/>
          <w:szCs w:val="28"/>
        </w:rPr>
        <w:t xml:space="preserve"> %,</w:t>
      </w:r>
      <w:r w:rsidRPr="005859CC">
        <w:rPr>
          <w:sz w:val="28"/>
          <w:szCs w:val="28"/>
        </w:rPr>
        <w:t xml:space="preserve"> що на </w:t>
      </w:r>
      <w:r>
        <w:rPr>
          <w:sz w:val="28"/>
          <w:szCs w:val="28"/>
        </w:rPr>
        <w:t>2 963,9</w:t>
      </w:r>
      <w:r w:rsidRPr="005859CC">
        <w:rPr>
          <w:sz w:val="28"/>
          <w:szCs w:val="28"/>
        </w:rPr>
        <w:t xml:space="preserve"> тис. грн. </w:t>
      </w:r>
      <w:r>
        <w:rPr>
          <w:sz w:val="28"/>
          <w:szCs w:val="28"/>
        </w:rPr>
        <w:t>більше</w:t>
      </w:r>
      <w:r w:rsidRPr="005859CC">
        <w:rPr>
          <w:sz w:val="28"/>
          <w:szCs w:val="28"/>
        </w:rPr>
        <w:t xml:space="preserve"> до бюджетних призначень. Податку на нерухоме май</w:t>
      </w:r>
      <w:r>
        <w:rPr>
          <w:sz w:val="28"/>
          <w:szCs w:val="28"/>
        </w:rPr>
        <w:t xml:space="preserve">но надійшло – 1 601,8 тис. грн. </w:t>
      </w:r>
      <w:r w:rsidRPr="005859CC">
        <w:rPr>
          <w:sz w:val="28"/>
          <w:szCs w:val="28"/>
        </w:rPr>
        <w:t>(</w:t>
      </w:r>
      <w:r>
        <w:rPr>
          <w:sz w:val="28"/>
          <w:szCs w:val="28"/>
        </w:rPr>
        <w:t>14,3</w:t>
      </w:r>
      <w:r w:rsidRPr="005859CC">
        <w:rPr>
          <w:sz w:val="28"/>
          <w:szCs w:val="28"/>
        </w:rPr>
        <w:t xml:space="preserve"> % в загальних надходженнях податку на майно). Земельного податку надійшло – </w:t>
      </w:r>
      <w:r>
        <w:rPr>
          <w:sz w:val="28"/>
          <w:szCs w:val="28"/>
        </w:rPr>
        <w:t>1 623,4</w:t>
      </w:r>
      <w:r w:rsidRPr="005859CC">
        <w:rPr>
          <w:sz w:val="28"/>
          <w:szCs w:val="28"/>
        </w:rPr>
        <w:t xml:space="preserve"> тис. грн. (</w:t>
      </w:r>
      <w:r>
        <w:rPr>
          <w:sz w:val="28"/>
          <w:szCs w:val="28"/>
        </w:rPr>
        <w:t>14,5</w:t>
      </w:r>
      <w:r w:rsidRPr="005859CC">
        <w:rPr>
          <w:sz w:val="28"/>
          <w:szCs w:val="28"/>
        </w:rPr>
        <w:t xml:space="preserve"> % в загальних надходженнях податку на майно).Найбільшим платником земельного податку з юридичних осіб є: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АТ «Українська </w:t>
      </w:r>
      <w:r>
        <w:rPr>
          <w:sz w:val="28"/>
          <w:szCs w:val="28"/>
        </w:rPr>
        <w:t>залізниця» (фактична сплата за І півріччя</w:t>
      </w:r>
      <w:r w:rsidRPr="005859CC">
        <w:rPr>
          <w:sz w:val="28"/>
          <w:szCs w:val="28"/>
        </w:rPr>
        <w:t xml:space="preserve">  склала – </w:t>
      </w:r>
      <w:r>
        <w:rPr>
          <w:sz w:val="28"/>
          <w:szCs w:val="28"/>
        </w:rPr>
        <w:t>675,1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грн.); орендної плати – </w:t>
      </w:r>
      <w:r>
        <w:rPr>
          <w:sz w:val="28"/>
          <w:szCs w:val="28"/>
        </w:rPr>
        <w:t>7 929,3</w:t>
      </w:r>
      <w:r w:rsidRPr="005859CC">
        <w:rPr>
          <w:sz w:val="28"/>
          <w:szCs w:val="28"/>
        </w:rPr>
        <w:t xml:space="preserve"> тис. грн. (</w:t>
      </w:r>
      <w:r>
        <w:rPr>
          <w:sz w:val="28"/>
          <w:szCs w:val="28"/>
        </w:rPr>
        <w:t>70,7</w:t>
      </w:r>
      <w:r w:rsidRPr="005859CC">
        <w:rPr>
          <w:sz w:val="28"/>
          <w:szCs w:val="28"/>
        </w:rPr>
        <w:t xml:space="preserve"> %). Найбільші платники орендної плати з юридичних осіб, такі як: ТОВ "ЗАХІД-АГРО МХП"(фактична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1270,6 тис. </w:t>
      </w:r>
      <w:r w:rsidRPr="005859CC">
        <w:rPr>
          <w:sz w:val="28"/>
          <w:szCs w:val="28"/>
        </w:rPr>
        <w:t xml:space="preserve">грн.), </w:t>
      </w:r>
      <w:r>
        <w:rPr>
          <w:sz w:val="28"/>
          <w:szCs w:val="28"/>
        </w:rPr>
        <w:t>ПрАТ «</w:t>
      </w:r>
      <w:proofErr w:type="spellStart"/>
      <w:r>
        <w:rPr>
          <w:sz w:val="28"/>
          <w:szCs w:val="28"/>
        </w:rPr>
        <w:t>Агрохолдинг</w:t>
      </w:r>
      <w:proofErr w:type="spellEnd"/>
      <w:r>
        <w:rPr>
          <w:sz w:val="28"/>
          <w:szCs w:val="28"/>
        </w:rPr>
        <w:t xml:space="preserve"> Авангард»</w:t>
      </w:r>
      <w:r w:rsidRPr="005859CC">
        <w:rPr>
          <w:sz w:val="28"/>
          <w:szCs w:val="28"/>
        </w:rPr>
        <w:t xml:space="preserve"> (фактична сплата </w:t>
      </w:r>
      <w:r>
        <w:rPr>
          <w:sz w:val="28"/>
          <w:szCs w:val="28"/>
        </w:rPr>
        <w:t>за 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>464,9 тис. грн.), ТЗОВ «ГУДВЕЛЛІ УКРАЇНА» (</w:t>
      </w:r>
      <w:r w:rsidRPr="005859CC">
        <w:rPr>
          <w:sz w:val="28"/>
          <w:szCs w:val="28"/>
        </w:rPr>
        <w:t xml:space="preserve">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–</w:t>
      </w:r>
      <w:r>
        <w:rPr>
          <w:sz w:val="28"/>
          <w:szCs w:val="28"/>
        </w:rPr>
        <w:t>372,2</w:t>
      </w:r>
      <w:r w:rsidRPr="005859CC">
        <w:rPr>
          <w:sz w:val="28"/>
          <w:szCs w:val="28"/>
        </w:rPr>
        <w:t xml:space="preserve"> тис. </w:t>
      </w:r>
      <w:r>
        <w:rPr>
          <w:sz w:val="28"/>
          <w:szCs w:val="28"/>
        </w:rPr>
        <w:t xml:space="preserve">грн.), СГ ТЗОВ «УЇЗД» (фактична сплата за І </w:t>
      </w:r>
      <w:proofErr w:type="spellStart"/>
      <w:r>
        <w:rPr>
          <w:sz w:val="28"/>
          <w:szCs w:val="28"/>
        </w:rPr>
        <w:t>півряччя</w:t>
      </w:r>
      <w:proofErr w:type="spellEnd"/>
      <w:r>
        <w:rPr>
          <w:sz w:val="28"/>
          <w:szCs w:val="28"/>
        </w:rPr>
        <w:t xml:space="preserve">– 340,1 тис. грн.) </w:t>
      </w:r>
      <w:r w:rsidRPr="004164F3">
        <w:rPr>
          <w:sz w:val="28"/>
          <w:szCs w:val="28"/>
        </w:rPr>
        <w:t xml:space="preserve">Транспортний податок – </w:t>
      </w:r>
      <w:r>
        <w:rPr>
          <w:sz w:val="28"/>
          <w:szCs w:val="28"/>
        </w:rPr>
        <w:t>54,9</w:t>
      </w:r>
      <w:r w:rsidRPr="004164F3">
        <w:rPr>
          <w:sz w:val="28"/>
          <w:szCs w:val="28"/>
        </w:rPr>
        <w:t xml:space="preserve"> тис. грн.</w:t>
      </w:r>
      <w:r w:rsidRPr="005859CC">
        <w:rPr>
          <w:sz w:val="28"/>
          <w:szCs w:val="28"/>
        </w:rPr>
        <w:t xml:space="preserve"> </w:t>
      </w:r>
    </w:p>
    <w:p w:rsidR="00FE00A5" w:rsidRPr="005859CC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59CC">
        <w:rPr>
          <w:sz w:val="28"/>
          <w:szCs w:val="28"/>
        </w:rPr>
        <w:t xml:space="preserve">Єдиного податку надійшло в сумі </w:t>
      </w:r>
      <w:r>
        <w:rPr>
          <w:sz w:val="28"/>
          <w:szCs w:val="28"/>
        </w:rPr>
        <w:t>13 399,0</w:t>
      </w:r>
      <w:r w:rsidRPr="005859CC">
        <w:rPr>
          <w:sz w:val="28"/>
          <w:szCs w:val="28"/>
        </w:rPr>
        <w:t xml:space="preserve"> тис. грн., виконання становить </w:t>
      </w:r>
      <w:r>
        <w:rPr>
          <w:sz w:val="28"/>
          <w:szCs w:val="28"/>
        </w:rPr>
        <w:t>135,8</w:t>
      </w:r>
      <w:r w:rsidRPr="005859CC">
        <w:rPr>
          <w:sz w:val="28"/>
          <w:szCs w:val="28"/>
        </w:rPr>
        <w:t xml:space="preserve"> %, що на </w:t>
      </w:r>
      <w:r>
        <w:rPr>
          <w:sz w:val="28"/>
          <w:szCs w:val="28"/>
        </w:rPr>
        <w:t>3 533,6</w:t>
      </w:r>
      <w:r w:rsidRPr="005859CC">
        <w:rPr>
          <w:sz w:val="28"/>
          <w:szCs w:val="28"/>
        </w:rPr>
        <w:t xml:space="preserve"> тис. грн. більше планових призначень. Найбільшими платниками єдиного податку є: з юридичних осіб </w:t>
      </w:r>
      <w:r>
        <w:rPr>
          <w:sz w:val="28"/>
          <w:szCs w:val="28"/>
        </w:rPr>
        <w:t>–</w:t>
      </w:r>
      <w:r w:rsidRPr="005859CC">
        <w:rPr>
          <w:sz w:val="28"/>
          <w:szCs w:val="28"/>
        </w:rPr>
        <w:t xml:space="preserve"> </w:t>
      </w:r>
      <w:r w:rsidRPr="00A435EF">
        <w:rPr>
          <w:sz w:val="28"/>
          <w:szCs w:val="28"/>
        </w:rPr>
        <w:t>ТОВ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Бурбуляк</w:t>
      </w:r>
      <w:proofErr w:type="spellEnd"/>
      <w:r>
        <w:rPr>
          <w:sz w:val="28"/>
          <w:szCs w:val="28"/>
        </w:rPr>
        <w:t xml:space="preserve"> Агро </w:t>
      </w:r>
      <w:r w:rsidRPr="005859CC">
        <w:rPr>
          <w:sz w:val="28"/>
          <w:szCs w:val="28"/>
        </w:rPr>
        <w:t xml:space="preserve">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склала </w:t>
      </w:r>
      <w:r>
        <w:rPr>
          <w:sz w:val="28"/>
          <w:szCs w:val="28"/>
        </w:rPr>
        <w:t>-212,9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грн.), ВАТ 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 xml:space="preserve"> (фактична сплата за І півріччя склала – 137,7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.);</w:t>
      </w:r>
      <w:r w:rsidRPr="005859CC">
        <w:rPr>
          <w:sz w:val="28"/>
          <w:szCs w:val="28"/>
        </w:rPr>
        <w:t xml:space="preserve"> єдино</w:t>
      </w:r>
      <w:r>
        <w:rPr>
          <w:sz w:val="28"/>
          <w:szCs w:val="28"/>
        </w:rPr>
        <w:t>го податку з фізичних осіб</w:t>
      </w:r>
      <w:r w:rsidRPr="005859CC">
        <w:rPr>
          <w:sz w:val="28"/>
          <w:szCs w:val="28"/>
        </w:rPr>
        <w:t xml:space="preserve"> ПП </w:t>
      </w:r>
      <w:proofErr w:type="spellStart"/>
      <w:r>
        <w:rPr>
          <w:sz w:val="28"/>
          <w:szCs w:val="28"/>
        </w:rPr>
        <w:t>Біляр</w:t>
      </w:r>
      <w:proofErr w:type="spellEnd"/>
      <w:r>
        <w:rPr>
          <w:sz w:val="28"/>
          <w:szCs w:val="28"/>
        </w:rPr>
        <w:t xml:space="preserve"> І М</w:t>
      </w:r>
      <w:r w:rsidRPr="005859CC">
        <w:rPr>
          <w:sz w:val="28"/>
          <w:szCs w:val="28"/>
        </w:rPr>
        <w:t xml:space="preserve">.(фактична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-</w:t>
      </w:r>
      <w:r>
        <w:rPr>
          <w:sz w:val="28"/>
          <w:szCs w:val="28"/>
        </w:rPr>
        <w:t>210,4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грн.), </w:t>
      </w:r>
      <w:r>
        <w:rPr>
          <w:sz w:val="28"/>
          <w:szCs w:val="28"/>
        </w:rPr>
        <w:t>ФОП Третяк І.С.</w:t>
      </w:r>
      <w:r w:rsidRPr="005859CC">
        <w:rPr>
          <w:sz w:val="28"/>
          <w:szCs w:val="28"/>
        </w:rPr>
        <w:t xml:space="preserve">(фактична сплата за </w:t>
      </w:r>
      <w:r>
        <w:rPr>
          <w:sz w:val="28"/>
          <w:szCs w:val="28"/>
        </w:rPr>
        <w:t>І півріччя</w:t>
      </w:r>
      <w:r w:rsidRPr="005859CC">
        <w:rPr>
          <w:sz w:val="28"/>
          <w:szCs w:val="28"/>
        </w:rPr>
        <w:t xml:space="preserve"> -</w:t>
      </w:r>
      <w:r>
        <w:rPr>
          <w:sz w:val="28"/>
          <w:szCs w:val="28"/>
        </w:rPr>
        <w:t>191,0</w:t>
      </w:r>
      <w:r w:rsidRPr="005859C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грн.), ФОП Саків І.Т.(фактична сплата за І  півріччя -160,1 тис. грн.);</w:t>
      </w:r>
      <w:r w:rsidRPr="005859CC">
        <w:rPr>
          <w:sz w:val="28"/>
          <w:szCs w:val="28"/>
        </w:rPr>
        <w:t xml:space="preserve"> єдиного </w:t>
      </w:r>
      <w:r>
        <w:rPr>
          <w:sz w:val="28"/>
          <w:szCs w:val="28"/>
        </w:rPr>
        <w:t xml:space="preserve">податку з сільськогосподарських товаровиробників, </w:t>
      </w:r>
      <w:r w:rsidRPr="005859CC">
        <w:rPr>
          <w:sz w:val="28"/>
          <w:szCs w:val="28"/>
        </w:rPr>
        <w:t xml:space="preserve">у яких частка сільськогосподарського </w:t>
      </w:r>
      <w:proofErr w:type="spellStart"/>
      <w:r w:rsidRPr="005859CC">
        <w:rPr>
          <w:sz w:val="28"/>
          <w:szCs w:val="28"/>
        </w:rPr>
        <w:t>товаровиробництва</w:t>
      </w:r>
      <w:proofErr w:type="spellEnd"/>
      <w:r w:rsidRPr="005859CC">
        <w:rPr>
          <w:sz w:val="28"/>
          <w:szCs w:val="28"/>
        </w:rPr>
        <w:t xml:space="preserve"> за попередній податковий (звітний) рік дорівнює або перевищує 75 відсотків- ТОВ "ЗАХІД-АГРО МХП"(</w:t>
      </w:r>
      <w:r>
        <w:rPr>
          <w:sz w:val="28"/>
          <w:szCs w:val="28"/>
        </w:rPr>
        <w:t>фактична сплата за І півріччя склала -399,7 тис. грн.);</w:t>
      </w:r>
      <w:r w:rsidRPr="005859CC">
        <w:rPr>
          <w:sz w:val="28"/>
          <w:szCs w:val="28"/>
        </w:rPr>
        <w:t xml:space="preserve"> </w:t>
      </w:r>
      <w:r>
        <w:rPr>
          <w:sz w:val="28"/>
          <w:szCs w:val="28"/>
        </w:rPr>
        <w:t>ФГ «Персей Агро» (фактична сплата за І півріччя склала -797,1 тис. грн.), СФГ «Надія» (фактична сплата за І півріччя склала -357,3 тис. грн.).</w:t>
      </w:r>
    </w:p>
    <w:p w:rsidR="00FE00A5" w:rsidRPr="005859CC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859CC">
        <w:rPr>
          <w:sz w:val="28"/>
          <w:szCs w:val="28"/>
        </w:rPr>
        <w:t xml:space="preserve"> Неподаткові надходження  склали </w:t>
      </w:r>
      <w:r>
        <w:rPr>
          <w:sz w:val="28"/>
          <w:szCs w:val="28"/>
        </w:rPr>
        <w:t>2 411,9</w:t>
      </w:r>
      <w:r w:rsidRPr="005859CC">
        <w:rPr>
          <w:sz w:val="28"/>
          <w:szCs w:val="28"/>
        </w:rPr>
        <w:t xml:space="preserve"> тис. грн. , виконання становить </w:t>
      </w:r>
      <w:r>
        <w:rPr>
          <w:sz w:val="28"/>
          <w:szCs w:val="28"/>
        </w:rPr>
        <w:t>146,3</w:t>
      </w:r>
      <w:r w:rsidRPr="005859CC">
        <w:rPr>
          <w:sz w:val="28"/>
          <w:szCs w:val="28"/>
        </w:rPr>
        <w:t xml:space="preserve"> %,  що на </w:t>
      </w:r>
      <w:r>
        <w:rPr>
          <w:sz w:val="28"/>
          <w:szCs w:val="28"/>
        </w:rPr>
        <w:t>763,8</w:t>
      </w:r>
      <w:r w:rsidRPr="005859CC">
        <w:rPr>
          <w:sz w:val="28"/>
          <w:szCs w:val="28"/>
        </w:rPr>
        <w:t xml:space="preserve"> тис. грн. більше до бюджетних призначень. Адміністративні штрафи – </w:t>
      </w:r>
      <w:r>
        <w:rPr>
          <w:sz w:val="28"/>
          <w:szCs w:val="28"/>
        </w:rPr>
        <w:t>257,1</w:t>
      </w:r>
      <w:r w:rsidRPr="005859CC">
        <w:rPr>
          <w:sz w:val="28"/>
          <w:szCs w:val="28"/>
        </w:rPr>
        <w:t xml:space="preserve">  тис. грн., адміністративні збори та платежі – </w:t>
      </w:r>
      <w:r>
        <w:rPr>
          <w:sz w:val="28"/>
          <w:szCs w:val="28"/>
        </w:rPr>
        <w:t>1 122,7</w:t>
      </w:r>
      <w:r w:rsidRPr="005859CC">
        <w:rPr>
          <w:sz w:val="28"/>
          <w:szCs w:val="28"/>
        </w:rPr>
        <w:t xml:space="preserve"> тис. грн., надходження від орендної плати за користування цілісним майновим комплексом та іншим державним майном  - </w:t>
      </w:r>
      <w:r>
        <w:rPr>
          <w:sz w:val="28"/>
          <w:szCs w:val="28"/>
        </w:rPr>
        <w:t>92,6</w:t>
      </w:r>
      <w:r w:rsidRPr="005859CC">
        <w:rPr>
          <w:sz w:val="28"/>
          <w:szCs w:val="28"/>
        </w:rPr>
        <w:t xml:space="preserve"> тис. грн.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 Державного мита до бюджету  поступило </w:t>
      </w:r>
      <w:r>
        <w:rPr>
          <w:sz w:val="28"/>
          <w:szCs w:val="28"/>
        </w:rPr>
        <w:t>22,5</w:t>
      </w:r>
      <w:r w:rsidRPr="005859CC">
        <w:rPr>
          <w:sz w:val="28"/>
          <w:szCs w:val="28"/>
        </w:rPr>
        <w:t xml:space="preserve"> тис. грн. , виконання становить </w:t>
      </w:r>
      <w:r>
        <w:rPr>
          <w:sz w:val="28"/>
          <w:szCs w:val="28"/>
        </w:rPr>
        <w:t xml:space="preserve">161 </w:t>
      </w:r>
      <w:r w:rsidRPr="005859CC">
        <w:rPr>
          <w:sz w:val="28"/>
          <w:szCs w:val="28"/>
        </w:rPr>
        <w:t>%  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7CC">
        <w:rPr>
          <w:sz w:val="28"/>
          <w:szCs w:val="28"/>
        </w:rPr>
        <w:t xml:space="preserve">     Орендна плата за водні об`єкти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 склала </w:t>
      </w:r>
      <w:r>
        <w:rPr>
          <w:sz w:val="28"/>
          <w:szCs w:val="28"/>
        </w:rPr>
        <w:t xml:space="preserve"> </w:t>
      </w:r>
    </w:p>
    <w:p w:rsidR="00FE00A5" w:rsidRPr="004147CC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7CC">
        <w:rPr>
          <w:sz w:val="28"/>
          <w:szCs w:val="28"/>
        </w:rPr>
        <w:t>3,2 ти</w:t>
      </w:r>
      <w:r>
        <w:rPr>
          <w:sz w:val="28"/>
          <w:szCs w:val="28"/>
        </w:rPr>
        <w:t>с</w:t>
      </w:r>
      <w:r w:rsidRPr="004147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47CC">
        <w:rPr>
          <w:sz w:val="28"/>
          <w:szCs w:val="28"/>
        </w:rPr>
        <w:t>грн.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lastRenderedPageBreak/>
        <w:t xml:space="preserve">     Інші надходження  до бюджету поступили  </w:t>
      </w:r>
      <w:r>
        <w:rPr>
          <w:sz w:val="28"/>
          <w:szCs w:val="28"/>
        </w:rPr>
        <w:t>1 032,1</w:t>
      </w:r>
      <w:r w:rsidRPr="005859CC">
        <w:rPr>
          <w:sz w:val="28"/>
          <w:szCs w:val="28"/>
        </w:rPr>
        <w:t xml:space="preserve"> тис. грн.,  які не були заплановані .</w:t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A01">
        <w:rPr>
          <w:rFonts w:ascii="Calibri" w:hAnsi="Calibri" w:cs="Calibri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0D93E0A" wp14:editId="392DDF53">
            <wp:simplePos x="0" y="0"/>
            <wp:positionH relativeFrom="column">
              <wp:posOffset>-194945</wp:posOffset>
            </wp:positionH>
            <wp:positionV relativeFrom="paragraph">
              <wp:posOffset>60960</wp:posOffset>
            </wp:positionV>
            <wp:extent cx="6305550" cy="4219575"/>
            <wp:effectExtent l="0" t="0" r="0" b="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0A5" w:rsidRDefault="00FE00A5" w:rsidP="00FE00A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4E54" w:rsidRPr="00144E54" w:rsidRDefault="00144E54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44E54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  <w:t xml:space="preserve">                 </w:t>
      </w: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en-US"/>
        </w:rPr>
      </w:pPr>
    </w:p>
    <w:p w:rsidR="00144E54" w:rsidRDefault="00144E54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44E54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До спеціального фонду міського бюджету  (без урахування міжбюджетних трансфертів) надійшло 10 177,5 тис. грн.,  в </w:t>
      </w:r>
      <w:proofErr w:type="spellStart"/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т.ч</w:t>
      </w:r>
      <w:proofErr w:type="spellEnd"/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надійшло  екологічного податку в сумі 104,8 тис. грн.,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 склали 8,8 тис. грн. , власних надходжень бюджетних установ - в сумі 8 669,5 тис.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,з них: плата за послуги, що надаються бюджетними установами згідно з їх основною діяльністю – 1 098,4 тис. грн.; надходження бюджетних установ від додаткової (господарської) діяльності  - 26,0 тис. грн.; плата за оренду майна бюджетних установ, що здійснюється відповідно до Закону України `Про оренду державного та комунального майна" -1,2 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  інші  джерела власних надходжень бюджетних установ – 7 544,0 тис. грн.; кошти від відчуження майна, що належить Автономній Республіці Крим та майна, що перебуває в комунальній власності  - 116,4 тис.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грн.; кошти від продажу земельних ділянок несільськогосподарського призначення, що перебувають у державній або комунальній власності, та земельних ділянок – 921,2 тис. грн.; кошти від викупу земельних ділянок сільськогосподарського призначення державної та комунальної власності, передбачених пунктом 6-1 розділу X `Перехідні положення` Земельного кодексу України – 356,8 тис.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00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</w:p>
    <w:p w:rsidR="00144E54" w:rsidRDefault="00144E54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E00A5" w:rsidRDefault="005859CC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0AC">
        <w:rPr>
          <w:rFonts w:ascii="Calibri" w:eastAsia="Times New Roman" w:hAnsi="Calibri" w:cs="Calibri"/>
          <w:noProof/>
          <w:color w:val="00000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2F0ADC1" wp14:editId="26469F4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6105525" cy="3609975"/>
            <wp:effectExtent l="57150" t="57150" r="47625" b="47625"/>
            <wp:wrapNone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A5" w:rsidRDefault="00FE00A5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A31" w:rsidRPr="009254D9" w:rsidRDefault="007A37EE" w:rsidP="004E5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59CC" w:rsidRPr="001F08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Видаткова частина  бюджету </w:t>
      </w:r>
      <w:proofErr w:type="spellStart"/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</w:t>
      </w:r>
      <w:r w:rsidR="000B082D">
        <w:rPr>
          <w:rFonts w:ascii="Times New Roman" w:hAnsi="Times New Roman" w:cs="Times New Roman"/>
          <w:sz w:val="28"/>
          <w:szCs w:val="28"/>
          <w:lang w:val="uk-UA"/>
        </w:rPr>
        <w:t xml:space="preserve">ріальної громади протягом </w:t>
      </w:r>
      <w:r w:rsidR="00FE00A5">
        <w:rPr>
          <w:rFonts w:ascii="Times New Roman" w:hAnsi="Times New Roman" w:cs="Times New Roman"/>
          <w:sz w:val="28"/>
          <w:szCs w:val="28"/>
          <w:lang w:val="uk-UA"/>
        </w:rPr>
        <w:t>І півріччя</w:t>
      </w:r>
      <w:r w:rsidR="000B082D" w:rsidRPr="000B082D">
        <w:rPr>
          <w:rFonts w:ascii="Times New Roman" w:hAnsi="Times New Roman" w:cs="Times New Roman"/>
          <w:sz w:val="28"/>
          <w:szCs w:val="28"/>
          <w:lang w:val="uk-UA"/>
        </w:rPr>
        <w:t xml:space="preserve"> 2023 року 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виконана на </w:t>
      </w:r>
      <w:r w:rsidR="00945F2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00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% до планових показників з урахуванням внесених змін </w:t>
      </w:r>
      <w:r w:rsidR="000C1331">
        <w:rPr>
          <w:rFonts w:ascii="Times New Roman" w:hAnsi="Times New Roman" w:cs="Times New Roman"/>
          <w:sz w:val="28"/>
          <w:szCs w:val="28"/>
          <w:lang w:val="uk-UA"/>
        </w:rPr>
        <w:t xml:space="preserve">на вказаний період 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і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161655,7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  <w:r w:rsidR="003A3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з них видатки загального фонду – </w:t>
      </w:r>
      <w:r>
        <w:rPr>
          <w:rFonts w:ascii="Times New Roman" w:hAnsi="Times New Roman" w:cs="Times New Roman"/>
          <w:sz w:val="28"/>
          <w:szCs w:val="28"/>
          <w:lang w:val="uk-UA"/>
        </w:rPr>
        <w:t>147782,6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спеціального </w:t>
      </w:r>
      <w:r w:rsidR="000C133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13873,1</w:t>
      </w:r>
      <w:r w:rsidR="000C1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9CC" w:rsidRPr="009254D9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p w:rsidR="008F6A31" w:rsidRPr="008F6A31" w:rsidRDefault="008F6A31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478EF">
        <w:rPr>
          <w:sz w:val="28"/>
          <w:szCs w:val="28"/>
        </w:rPr>
        <w:t xml:space="preserve">        </w:t>
      </w:r>
      <w:r w:rsidR="005859CC" w:rsidRPr="005859CC">
        <w:rPr>
          <w:sz w:val="28"/>
          <w:szCs w:val="28"/>
        </w:rPr>
        <w:t>За звітний період проведені видатки  на:</w:t>
      </w:r>
    </w:p>
    <w:p w:rsidR="008F6A31" w:rsidRPr="002478EF" w:rsidRDefault="005859CC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59CC">
        <w:rPr>
          <w:sz w:val="28"/>
          <w:szCs w:val="28"/>
        </w:rPr>
        <w:t xml:space="preserve">- заробітну  плату з нарахуваннями в сумі  –  </w:t>
      </w:r>
      <w:r w:rsidR="007A37EE">
        <w:rPr>
          <w:sz w:val="28"/>
          <w:szCs w:val="28"/>
        </w:rPr>
        <w:t>106537,7</w:t>
      </w:r>
      <w:r w:rsidR="00B136A9">
        <w:rPr>
          <w:sz w:val="28"/>
          <w:szCs w:val="28"/>
        </w:rPr>
        <w:t xml:space="preserve"> тис</w:t>
      </w:r>
      <w:r w:rsidRPr="005859CC">
        <w:rPr>
          <w:sz w:val="28"/>
          <w:szCs w:val="28"/>
        </w:rPr>
        <w:t>. грн.</w:t>
      </w:r>
    </w:p>
    <w:p w:rsidR="008F6A31" w:rsidRPr="002478EF" w:rsidRDefault="005859CC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59CC">
        <w:rPr>
          <w:sz w:val="28"/>
          <w:szCs w:val="28"/>
        </w:rPr>
        <w:t xml:space="preserve">-  медикаменти та </w:t>
      </w:r>
      <w:r w:rsidR="00A8158D">
        <w:rPr>
          <w:sz w:val="28"/>
          <w:szCs w:val="28"/>
        </w:rPr>
        <w:t xml:space="preserve">перев’язувальні матеріали – </w:t>
      </w:r>
      <w:r w:rsidR="009E4F3D">
        <w:rPr>
          <w:sz w:val="28"/>
          <w:szCs w:val="28"/>
        </w:rPr>
        <w:t>77,2</w:t>
      </w:r>
      <w:r w:rsidRPr="005859CC">
        <w:rPr>
          <w:sz w:val="28"/>
          <w:szCs w:val="28"/>
        </w:rPr>
        <w:t>тис. грн.</w:t>
      </w:r>
    </w:p>
    <w:p w:rsidR="008F6A31" w:rsidRPr="002478EF" w:rsidRDefault="00A8158D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продукти харчування – </w:t>
      </w:r>
      <w:r w:rsidR="009E4F3D">
        <w:rPr>
          <w:sz w:val="28"/>
          <w:szCs w:val="28"/>
        </w:rPr>
        <w:t>4096</w:t>
      </w:r>
      <w:r w:rsidR="00945F24">
        <w:rPr>
          <w:sz w:val="28"/>
          <w:szCs w:val="28"/>
        </w:rPr>
        <w:t>,0</w:t>
      </w:r>
      <w:r w:rsidR="00DF1AE6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>тис. грн.</w:t>
      </w:r>
    </w:p>
    <w:p w:rsidR="008F6A31" w:rsidRPr="002478EF" w:rsidRDefault="005859CC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59CC">
        <w:rPr>
          <w:sz w:val="28"/>
          <w:szCs w:val="28"/>
        </w:rPr>
        <w:t xml:space="preserve">- оплата комунальних </w:t>
      </w:r>
      <w:r w:rsidR="00A8158D">
        <w:rPr>
          <w:sz w:val="28"/>
          <w:szCs w:val="28"/>
        </w:rPr>
        <w:t xml:space="preserve">послуг та енергоносіїв –  </w:t>
      </w:r>
      <w:r w:rsidR="009E4F3D">
        <w:rPr>
          <w:sz w:val="28"/>
          <w:szCs w:val="28"/>
          <w:lang w:val="ru-RU"/>
        </w:rPr>
        <w:t>10328,5</w:t>
      </w:r>
      <w:r w:rsidR="001D4816">
        <w:rPr>
          <w:sz w:val="28"/>
          <w:szCs w:val="28"/>
          <w:lang w:val="ru-RU"/>
        </w:rPr>
        <w:t xml:space="preserve"> </w:t>
      </w:r>
      <w:r w:rsidRPr="005859CC">
        <w:rPr>
          <w:sz w:val="28"/>
          <w:szCs w:val="28"/>
        </w:rPr>
        <w:t xml:space="preserve">тис. грн. </w:t>
      </w:r>
    </w:p>
    <w:p w:rsidR="008F6A31" w:rsidRPr="000C4B56" w:rsidRDefault="005859CC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     Видатки капітального характеру протягом звітного </w:t>
      </w:r>
      <w:r w:rsidR="000C4B56">
        <w:rPr>
          <w:sz w:val="28"/>
          <w:szCs w:val="28"/>
        </w:rPr>
        <w:t xml:space="preserve">періоду проведені в сумі </w:t>
      </w:r>
      <w:r w:rsidR="009E4F3D">
        <w:rPr>
          <w:sz w:val="28"/>
          <w:szCs w:val="28"/>
        </w:rPr>
        <w:t>11516</w:t>
      </w:r>
      <w:r w:rsidR="00945F24">
        <w:rPr>
          <w:sz w:val="28"/>
          <w:szCs w:val="28"/>
        </w:rPr>
        <w:t>,0</w:t>
      </w:r>
      <w:r w:rsidR="001D4816"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>тис. грн.</w:t>
      </w:r>
    </w:p>
    <w:p w:rsidR="008F6A31" w:rsidRPr="000C4B56" w:rsidRDefault="008F6A31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B56">
        <w:rPr>
          <w:sz w:val="28"/>
          <w:szCs w:val="28"/>
        </w:rPr>
        <w:t xml:space="preserve">         </w:t>
      </w:r>
      <w:r w:rsidR="005859CC" w:rsidRPr="005859CC">
        <w:rPr>
          <w:sz w:val="28"/>
          <w:szCs w:val="28"/>
        </w:rPr>
        <w:t xml:space="preserve">На «Державне управління» протягом </w:t>
      </w:r>
      <w:r w:rsidR="00945F24" w:rsidRPr="00945F24">
        <w:rPr>
          <w:sz w:val="28"/>
          <w:szCs w:val="28"/>
        </w:rPr>
        <w:t xml:space="preserve">І </w:t>
      </w:r>
      <w:r w:rsidR="009E4F3D">
        <w:rPr>
          <w:sz w:val="28"/>
          <w:szCs w:val="28"/>
        </w:rPr>
        <w:t>півріччя</w:t>
      </w:r>
      <w:r w:rsidR="00945F24" w:rsidRPr="00945F24">
        <w:rPr>
          <w:sz w:val="28"/>
          <w:szCs w:val="28"/>
        </w:rPr>
        <w:t xml:space="preserve"> 2023 року </w:t>
      </w:r>
      <w:r w:rsidR="005859CC" w:rsidRPr="005859CC">
        <w:rPr>
          <w:sz w:val="28"/>
          <w:szCs w:val="28"/>
        </w:rPr>
        <w:t xml:space="preserve">використано </w:t>
      </w:r>
      <w:r w:rsidR="009E4F3D" w:rsidRPr="009E4F3D">
        <w:rPr>
          <w:sz w:val="28"/>
          <w:szCs w:val="28"/>
        </w:rPr>
        <w:t>27606</w:t>
      </w:r>
      <w:r w:rsidR="009E4F3D">
        <w:rPr>
          <w:sz w:val="28"/>
          <w:szCs w:val="28"/>
        </w:rPr>
        <w:t>,</w:t>
      </w:r>
      <w:r w:rsidR="009E4F3D" w:rsidRPr="009E4F3D">
        <w:rPr>
          <w:sz w:val="28"/>
          <w:szCs w:val="28"/>
        </w:rPr>
        <w:t>9</w:t>
      </w:r>
      <w:r w:rsidR="009E4F3D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 xml:space="preserve">тис. грн., з них утримання апарату </w:t>
      </w:r>
      <w:proofErr w:type="spellStart"/>
      <w:r w:rsidR="005859CC" w:rsidRPr="005859CC">
        <w:rPr>
          <w:sz w:val="28"/>
          <w:szCs w:val="28"/>
        </w:rPr>
        <w:t>Рогатинської</w:t>
      </w:r>
      <w:proofErr w:type="spellEnd"/>
      <w:r w:rsidR="005859CC" w:rsidRPr="005859CC">
        <w:rPr>
          <w:sz w:val="28"/>
          <w:szCs w:val="28"/>
        </w:rPr>
        <w:t xml:space="preserve"> міської ради і 18 </w:t>
      </w:r>
      <w:proofErr w:type="spellStart"/>
      <w:r w:rsidR="005859CC" w:rsidRPr="005859CC">
        <w:rPr>
          <w:sz w:val="28"/>
          <w:szCs w:val="28"/>
        </w:rPr>
        <w:t>старостинських</w:t>
      </w:r>
      <w:proofErr w:type="spellEnd"/>
      <w:r w:rsidR="005859CC" w:rsidRPr="005859CC">
        <w:rPr>
          <w:sz w:val="28"/>
          <w:szCs w:val="28"/>
        </w:rPr>
        <w:t xml:space="preserve"> округів – </w:t>
      </w:r>
      <w:r w:rsidR="009E4F3D">
        <w:rPr>
          <w:sz w:val="28"/>
          <w:szCs w:val="28"/>
        </w:rPr>
        <w:t xml:space="preserve">18031,6 </w:t>
      </w:r>
      <w:r w:rsidR="005859CC" w:rsidRPr="005859CC">
        <w:rPr>
          <w:sz w:val="28"/>
          <w:szCs w:val="28"/>
        </w:rPr>
        <w:t xml:space="preserve">тис. грн. ; 4 самостійних структурних підрозділи – </w:t>
      </w:r>
      <w:r w:rsidR="009E4F3D">
        <w:rPr>
          <w:sz w:val="28"/>
          <w:szCs w:val="28"/>
        </w:rPr>
        <w:t>1794,2</w:t>
      </w:r>
      <w:r w:rsidR="0004357F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 xml:space="preserve">тис. грн. та інша діяльність у сфері державного управління – </w:t>
      </w:r>
      <w:r w:rsidR="009E4F3D">
        <w:rPr>
          <w:sz w:val="28"/>
          <w:szCs w:val="28"/>
        </w:rPr>
        <w:t xml:space="preserve">7781,1 </w:t>
      </w:r>
      <w:r w:rsidR="005859CC" w:rsidRPr="005859CC">
        <w:rPr>
          <w:sz w:val="28"/>
          <w:szCs w:val="28"/>
        </w:rPr>
        <w:t>тис. грн.</w:t>
      </w:r>
    </w:p>
    <w:p w:rsidR="008F6A31" w:rsidRPr="002478EF" w:rsidRDefault="005859CC" w:rsidP="008F6A3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59CC">
        <w:rPr>
          <w:sz w:val="28"/>
          <w:szCs w:val="28"/>
        </w:rPr>
        <w:t xml:space="preserve">    По галузі «Освіта» на утримання діючо</w:t>
      </w:r>
      <w:r w:rsidR="0089507E">
        <w:rPr>
          <w:sz w:val="28"/>
          <w:szCs w:val="28"/>
        </w:rPr>
        <w:t>ї мережі установ освіти</w:t>
      </w:r>
      <w:r w:rsidRPr="005859CC">
        <w:rPr>
          <w:sz w:val="28"/>
          <w:szCs w:val="28"/>
        </w:rPr>
        <w:t xml:space="preserve"> спрямовано </w:t>
      </w:r>
      <w:r w:rsidR="009E4F3D">
        <w:rPr>
          <w:sz w:val="28"/>
          <w:szCs w:val="28"/>
          <w:lang w:val="ru-RU"/>
        </w:rPr>
        <w:t xml:space="preserve">94587,8 </w:t>
      </w:r>
      <w:r w:rsidRPr="005859CC">
        <w:rPr>
          <w:sz w:val="28"/>
          <w:szCs w:val="28"/>
        </w:rPr>
        <w:t>тис. грн., з них на оплату праці і нарахува</w:t>
      </w:r>
      <w:r w:rsidR="0073580B">
        <w:rPr>
          <w:sz w:val="28"/>
          <w:szCs w:val="28"/>
        </w:rPr>
        <w:t xml:space="preserve">ння на заробітну плату – </w:t>
      </w:r>
      <w:r w:rsidR="00343A1A" w:rsidRPr="00343A1A">
        <w:rPr>
          <w:sz w:val="28"/>
          <w:szCs w:val="28"/>
        </w:rPr>
        <w:t>76508</w:t>
      </w:r>
      <w:r w:rsidR="00343A1A">
        <w:rPr>
          <w:sz w:val="28"/>
          <w:szCs w:val="28"/>
        </w:rPr>
        <w:t>,7</w:t>
      </w:r>
      <w:r w:rsidR="0004357F"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>тис. грн.</w:t>
      </w:r>
    </w:p>
    <w:p w:rsidR="002478EF" w:rsidRPr="00F8612C" w:rsidRDefault="005859C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59CC">
        <w:rPr>
          <w:sz w:val="28"/>
          <w:szCs w:val="28"/>
        </w:rPr>
        <w:t xml:space="preserve">             По галузі «Охорона здоров’я» </w:t>
      </w:r>
      <w:r w:rsidR="0073580B">
        <w:rPr>
          <w:sz w:val="28"/>
          <w:szCs w:val="28"/>
        </w:rPr>
        <w:t xml:space="preserve">проведені видатки в сумі </w:t>
      </w:r>
      <w:r w:rsidR="004A77BC" w:rsidRPr="004A77BC">
        <w:rPr>
          <w:sz w:val="28"/>
          <w:szCs w:val="28"/>
        </w:rPr>
        <w:t>8396</w:t>
      </w:r>
      <w:r w:rsidR="004A77BC">
        <w:rPr>
          <w:sz w:val="28"/>
          <w:szCs w:val="28"/>
        </w:rPr>
        <w:t xml:space="preserve">,9 </w:t>
      </w:r>
      <w:r w:rsidRPr="005859CC">
        <w:rPr>
          <w:sz w:val="28"/>
          <w:szCs w:val="28"/>
        </w:rPr>
        <w:t>тис. грн., які спрямовані на первинну допомогу населенню, що надається центра</w:t>
      </w:r>
      <w:r w:rsidR="000C4B56">
        <w:rPr>
          <w:sz w:val="28"/>
          <w:szCs w:val="28"/>
        </w:rPr>
        <w:t xml:space="preserve">ми первинної медичної допомоги, </w:t>
      </w:r>
      <w:r w:rsidR="000C4B56" w:rsidRPr="000C4B56">
        <w:rPr>
          <w:sz w:val="28"/>
          <w:szCs w:val="28"/>
        </w:rPr>
        <w:t>оплату енергоносіїв</w:t>
      </w:r>
      <w:r w:rsidR="000C4B56">
        <w:rPr>
          <w:sz w:val="28"/>
          <w:szCs w:val="28"/>
        </w:rPr>
        <w:t xml:space="preserve">, </w:t>
      </w:r>
      <w:r w:rsidR="000C4B56" w:rsidRPr="000C4B56">
        <w:rPr>
          <w:sz w:val="28"/>
          <w:szCs w:val="28"/>
        </w:rPr>
        <w:t>придбання будівельних матеріалів для проведення поточного ремонту</w:t>
      </w:r>
      <w:r w:rsidR="000C4B56">
        <w:rPr>
          <w:sz w:val="28"/>
          <w:szCs w:val="28"/>
        </w:rPr>
        <w:t>,</w:t>
      </w:r>
      <w:r w:rsidR="000C4B56" w:rsidRPr="000C4B56"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>на вторинний рівень для КНП «</w:t>
      </w:r>
      <w:proofErr w:type="spellStart"/>
      <w:r w:rsidRPr="005859CC">
        <w:rPr>
          <w:sz w:val="28"/>
          <w:szCs w:val="28"/>
        </w:rPr>
        <w:t>Рогатинстька</w:t>
      </w:r>
      <w:proofErr w:type="spellEnd"/>
      <w:r w:rsidRPr="005859CC">
        <w:rPr>
          <w:sz w:val="28"/>
          <w:szCs w:val="28"/>
        </w:rPr>
        <w:t xml:space="preserve"> ЦРЛ» на оплату енергоносіїв , </w:t>
      </w:r>
      <w:r w:rsidR="000C4B56">
        <w:rPr>
          <w:sz w:val="28"/>
          <w:szCs w:val="28"/>
        </w:rPr>
        <w:t xml:space="preserve">покращення </w:t>
      </w:r>
      <w:proofErr w:type="spellStart"/>
      <w:r w:rsidR="000C4B56">
        <w:rPr>
          <w:sz w:val="28"/>
          <w:szCs w:val="28"/>
        </w:rPr>
        <w:t>матеріальнор</w:t>
      </w:r>
      <w:proofErr w:type="spellEnd"/>
      <w:r w:rsidR="000C4B56">
        <w:rPr>
          <w:sz w:val="28"/>
          <w:szCs w:val="28"/>
        </w:rPr>
        <w:t xml:space="preserve">-технічного забезпечення та придбання будівельних матеріалів для проведення </w:t>
      </w:r>
      <w:r w:rsidR="000C4B56">
        <w:rPr>
          <w:sz w:val="28"/>
          <w:szCs w:val="28"/>
        </w:rPr>
        <w:lastRenderedPageBreak/>
        <w:t>поточного ремонту</w:t>
      </w:r>
      <w:r w:rsidRPr="005859CC">
        <w:rPr>
          <w:sz w:val="28"/>
          <w:szCs w:val="28"/>
        </w:rPr>
        <w:t>, КП «Центральна районна аптека №47» на заробітну плату з нарахуванням.</w:t>
      </w:r>
    </w:p>
    <w:p w:rsidR="002478EF" w:rsidRPr="002478EF" w:rsidRDefault="002478EF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612C">
        <w:rPr>
          <w:sz w:val="28"/>
          <w:szCs w:val="28"/>
          <w:lang w:val="ru-RU"/>
        </w:rPr>
        <w:t xml:space="preserve">    </w:t>
      </w:r>
      <w:r w:rsidR="005859CC" w:rsidRPr="005859CC">
        <w:rPr>
          <w:sz w:val="28"/>
          <w:szCs w:val="28"/>
        </w:rPr>
        <w:t xml:space="preserve">    По галузі «Соціальний захист та соціальне забезпечення» проведені протягом </w:t>
      </w:r>
      <w:r w:rsidR="00DA2DC7" w:rsidRPr="00DA2DC7">
        <w:rPr>
          <w:sz w:val="28"/>
          <w:szCs w:val="28"/>
        </w:rPr>
        <w:t xml:space="preserve">І </w:t>
      </w:r>
      <w:r w:rsidR="004A77BC">
        <w:rPr>
          <w:sz w:val="28"/>
          <w:szCs w:val="28"/>
        </w:rPr>
        <w:t>півріччя</w:t>
      </w:r>
      <w:r w:rsidR="00DA2DC7" w:rsidRPr="00DA2DC7">
        <w:rPr>
          <w:sz w:val="28"/>
          <w:szCs w:val="28"/>
        </w:rPr>
        <w:t xml:space="preserve"> 2023 року </w:t>
      </w:r>
      <w:r w:rsidR="005859CC" w:rsidRPr="005859CC">
        <w:rPr>
          <w:sz w:val="28"/>
          <w:szCs w:val="28"/>
        </w:rPr>
        <w:t xml:space="preserve">видатки в сумі </w:t>
      </w:r>
      <w:r w:rsidR="004A77BC">
        <w:rPr>
          <w:sz w:val="28"/>
          <w:szCs w:val="28"/>
        </w:rPr>
        <w:t xml:space="preserve">7389,1 </w:t>
      </w:r>
      <w:r w:rsidR="005859CC" w:rsidRPr="005859CC">
        <w:rPr>
          <w:sz w:val="28"/>
          <w:szCs w:val="28"/>
        </w:rPr>
        <w:t xml:space="preserve">тис. грн., з них які спрямовані на утримання установ соціального захисту та соціального забезпечення, спрямовано </w:t>
      </w:r>
      <w:r w:rsidR="004A77BC">
        <w:rPr>
          <w:sz w:val="28"/>
          <w:szCs w:val="28"/>
        </w:rPr>
        <w:t>4565,9</w:t>
      </w:r>
      <w:r w:rsidR="005859CC" w:rsidRPr="005859CC">
        <w:rPr>
          <w:sz w:val="28"/>
          <w:szCs w:val="28"/>
        </w:rPr>
        <w:t xml:space="preserve"> тис. грн.,</w:t>
      </w:r>
      <w:r w:rsidR="0073580B" w:rsidRPr="0073580B">
        <w:t xml:space="preserve"> </w:t>
      </w:r>
      <w:r w:rsidR="0073580B">
        <w:rPr>
          <w:sz w:val="28"/>
          <w:szCs w:val="28"/>
        </w:rPr>
        <w:t>в</w:t>
      </w:r>
      <w:r w:rsidR="0073580B" w:rsidRPr="0073580B">
        <w:rPr>
          <w:sz w:val="28"/>
          <w:szCs w:val="28"/>
        </w:rPr>
        <w:t>идатки, пов`язані з наданням підтримки внутрішньо перемішеним та/або евакуйованим особам у зв`язку із введенням воєнного стану</w:t>
      </w:r>
      <w:r w:rsidR="004A2892">
        <w:rPr>
          <w:sz w:val="28"/>
          <w:szCs w:val="28"/>
        </w:rPr>
        <w:t xml:space="preserve"> –</w:t>
      </w:r>
      <w:r w:rsidR="004A77BC">
        <w:rPr>
          <w:sz w:val="28"/>
          <w:szCs w:val="28"/>
        </w:rPr>
        <w:t>360</w:t>
      </w:r>
      <w:r w:rsidR="00DA2DC7">
        <w:rPr>
          <w:sz w:val="28"/>
          <w:szCs w:val="28"/>
        </w:rPr>
        <w:t xml:space="preserve">,4 </w:t>
      </w:r>
      <w:r w:rsidR="004A2892">
        <w:rPr>
          <w:sz w:val="28"/>
          <w:szCs w:val="28"/>
        </w:rPr>
        <w:t>тис. грн.,</w:t>
      </w:r>
      <w:r w:rsidR="005859CC" w:rsidRPr="005859CC">
        <w:rPr>
          <w:sz w:val="28"/>
          <w:szCs w:val="28"/>
        </w:rPr>
        <w:t xml:space="preserve"> інші видатки на соціальний захист населення (надання матеріальної допомоги населенню, безоплатне харчування одиноких та людей похилого віку що опинилися у складних життєвих обставинах, компенсаційні виплати на пільговий проїзд</w:t>
      </w:r>
      <w:r w:rsidR="00A8079E">
        <w:rPr>
          <w:sz w:val="28"/>
          <w:szCs w:val="28"/>
        </w:rPr>
        <w:t>, надання соціальних послуг на непрофесійній основі</w:t>
      </w:r>
      <w:r w:rsidR="005859CC" w:rsidRPr="005859CC">
        <w:rPr>
          <w:sz w:val="28"/>
          <w:szCs w:val="28"/>
        </w:rPr>
        <w:t xml:space="preserve">) – </w:t>
      </w:r>
      <w:r w:rsidR="004A77BC">
        <w:rPr>
          <w:sz w:val="28"/>
          <w:szCs w:val="28"/>
        </w:rPr>
        <w:t>2395,6</w:t>
      </w:r>
      <w:r w:rsidR="005859CC" w:rsidRPr="005859CC">
        <w:rPr>
          <w:sz w:val="28"/>
          <w:szCs w:val="28"/>
        </w:rPr>
        <w:t xml:space="preserve"> тис. грн., організація і проведення громадських </w:t>
      </w:r>
      <w:r w:rsidR="004A2892">
        <w:rPr>
          <w:sz w:val="28"/>
          <w:szCs w:val="28"/>
        </w:rPr>
        <w:t xml:space="preserve">робіт – </w:t>
      </w:r>
      <w:r w:rsidR="004A77BC">
        <w:rPr>
          <w:sz w:val="28"/>
          <w:szCs w:val="28"/>
        </w:rPr>
        <w:t xml:space="preserve">67,2 </w:t>
      </w:r>
      <w:r w:rsidR="0004357F" w:rsidRPr="0004357F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>тис. грн.</w:t>
      </w:r>
    </w:p>
    <w:p w:rsidR="002478EF" w:rsidRPr="002478EF" w:rsidRDefault="002478EF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8612C">
        <w:rPr>
          <w:sz w:val="28"/>
          <w:szCs w:val="28"/>
        </w:rPr>
        <w:t xml:space="preserve">         </w:t>
      </w:r>
      <w:r w:rsidR="005859CC" w:rsidRPr="005859CC">
        <w:rPr>
          <w:sz w:val="28"/>
          <w:szCs w:val="28"/>
        </w:rPr>
        <w:t xml:space="preserve">Протягом звітного періоду по галузі «Культура і мистецтво» на утримання діючої мережі  установ культури проведено видатків на  загальну  сумі </w:t>
      </w:r>
      <w:r w:rsidR="00D95589" w:rsidRPr="00D95589">
        <w:rPr>
          <w:sz w:val="28"/>
          <w:szCs w:val="28"/>
        </w:rPr>
        <w:t>7505</w:t>
      </w:r>
      <w:r w:rsidR="00D95589">
        <w:rPr>
          <w:sz w:val="28"/>
          <w:szCs w:val="28"/>
        </w:rPr>
        <w:t>,2</w:t>
      </w:r>
      <w:r w:rsidR="00D95589" w:rsidRPr="00D95589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 xml:space="preserve">тис. грн., з них на оплату праці і нарахування на заробітну плату – </w:t>
      </w:r>
      <w:r w:rsidR="00D95589">
        <w:rPr>
          <w:sz w:val="28"/>
          <w:szCs w:val="28"/>
        </w:rPr>
        <w:t>6356,4</w:t>
      </w:r>
      <w:r w:rsidR="00784C94" w:rsidRPr="00784C94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>тис. грн.</w:t>
      </w:r>
    </w:p>
    <w:p w:rsidR="002478EF" w:rsidRPr="00F8612C" w:rsidRDefault="002478EF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478EF">
        <w:rPr>
          <w:sz w:val="28"/>
          <w:szCs w:val="28"/>
          <w:lang w:val="ru-RU"/>
        </w:rPr>
        <w:t xml:space="preserve">        </w:t>
      </w:r>
      <w:r w:rsidR="005859CC" w:rsidRPr="005859CC">
        <w:rPr>
          <w:sz w:val="28"/>
          <w:szCs w:val="28"/>
        </w:rPr>
        <w:t>По галузі «Фізична культур</w:t>
      </w:r>
      <w:r w:rsidR="00A8079E">
        <w:rPr>
          <w:sz w:val="28"/>
          <w:szCs w:val="28"/>
        </w:rPr>
        <w:t xml:space="preserve">а та спорт» проведені протягом </w:t>
      </w:r>
      <w:r w:rsidR="00DA2DC7" w:rsidRPr="00DA2DC7">
        <w:rPr>
          <w:sz w:val="28"/>
          <w:szCs w:val="28"/>
        </w:rPr>
        <w:t xml:space="preserve">І кварталу 2023 року </w:t>
      </w:r>
      <w:r w:rsidR="005859CC" w:rsidRPr="005859CC">
        <w:rPr>
          <w:sz w:val="28"/>
          <w:szCs w:val="28"/>
        </w:rPr>
        <w:t xml:space="preserve">видатки в сумі </w:t>
      </w:r>
      <w:r w:rsidR="00D95589" w:rsidRPr="00D95589">
        <w:rPr>
          <w:sz w:val="28"/>
          <w:szCs w:val="28"/>
        </w:rPr>
        <w:t>2852</w:t>
      </w:r>
      <w:r w:rsidR="00D95589">
        <w:rPr>
          <w:sz w:val="28"/>
          <w:szCs w:val="28"/>
        </w:rPr>
        <w:t>,7</w:t>
      </w:r>
      <w:r w:rsidR="00784C94" w:rsidRPr="00784C94">
        <w:rPr>
          <w:sz w:val="28"/>
          <w:szCs w:val="28"/>
        </w:rPr>
        <w:t xml:space="preserve"> </w:t>
      </w:r>
      <w:r w:rsidR="00A8079E">
        <w:rPr>
          <w:sz w:val="28"/>
          <w:szCs w:val="28"/>
        </w:rPr>
        <w:t xml:space="preserve">тис. грн., </w:t>
      </w:r>
      <w:r w:rsidR="005859CC" w:rsidRPr="005859CC">
        <w:rPr>
          <w:sz w:val="28"/>
          <w:szCs w:val="28"/>
        </w:rPr>
        <w:t>на утримання  Дитячо-юнацької спортивної школи олімпійського резерву та заходів програм в галузі спорту.</w:t>
      </w:r>
    </w:p>
    <w:p w:rsidR="002478EF" w:rsidRPr="002478EF" w:rsidRDefault="005859C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59CC">
        <w:rPr>
          <w:sz w:val="28"/>
          <w:szCs w:val="28"/>
        </w:rPr>
        <w:t xml:space="preserve">         По житл</w:t>
      </w:r>
      <w:r w:rsidR="00A8079E">
        <w:rPr>
          <w:sz w:val="28"/>
          <w:szCs w:val="28"/>
        </w:rPr>
        <w:t xml:space="preserve">ово-комунальному господарству </w:t>
      </w:r>
      <w:r w:rsidR="00DA2DC7">
        <w:rPr>
          <w:sz w:val="28"/>
          <w:szCs w:val="28"/>
        </w:rPr>
        <w:t>за звітній період</w:t>
      </w:r>
      <w:r w:rsidRPr="005859CC">
        <w:rPr>
          <w:sz w:val="28"/>
          <w:szCs w:val="28"/>
        </w:rPr>
        <w:t xml:space="preserve"> пр</w:t>
      </w:r>
      <w:r w:rsidR="00A8079E">
        <w:rPr>
          <w:sz w:val="28"/>
          <w:szCs w:val="28"/>
        </w:rPr>
        <w:t xml:space="preserve">оведені касові видатки  в сумі </w:t>
      </w:r>
      <w:r w:rsidR="00D95589" w:rsidRPr="00D95589">
        <w:rPr>
          <w:sz w:val="28"/>
          <w:szCs w:val="28"/>
        </w:rPr>
        <w:t>9759</w:t>
      </w:r>
      <w:r w:rsidR="00D95589">
        <w:rPr>
          <w:sz w:val="28"/>
          <w:szCs w:val="28"/>
        </w:rPr>
        <w:t>,</w:t>
      </w:r>
      <w:r w:rsidR="00D95589" w:rsidRPr="00D95589">
        <w:rPr>
          <w:sz w:val="28"/>
          <w:szCs w:val="28"/>
        </w:rPr>
        <w:t>1</w:t>
      </w:r>
      <w:r w:rsidR="00D95589"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 xml:space="preserve">тис. грн., в тому числі: </w:t>
      </w:r>
    </w:p>
    <w:p w:rsidR="002478EF" w:rsidRPr="00F8612C" w:rsidRDefault="005859C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59CC">
        <w:rPr>
          <w:sz w:val="28"/>
          <w:szCs w:val="28"/>
        </w:rPr>
        <w:t xml:space="preserve">- </w:t>
      </w:r>
      <w:r w:rsidR="00876D9C">
        <w:rPr>
          <w:sz w:val="28"/>
          <w:szCs w:val="28"/>
        </w:rPr>
        <w:t>з</w:t>
      </w:r>
      <w:bookmarkStart w:id="0" w:name="_GoBack"/>
      <w:bookmarkEnd w:id="0"/>
      <w:r w:rsidRPr="005859CC">
        <w:rPr>
          <w:sz w:val="28"/>
          <w:szCs w:val="28"/>
        </w:rPr>
        <w:t xml:space="preserve">абезпечення діяльності водопровідно-каналізаційного господарства – </w:t>
      </w:r>
      <w:r w:rsidR="00D95589">
        <w:rPr>
          <w:sz w:val="28"/>
          <w:szCs w:val="28"/>
        </w:rPr>
        <w:t>211,1</w:t>
      </w:r>
      <w:r w:rsidR="00784C94" w:rsidRPr="00784C94">
        <w:rPr>
          <w:sz w:val="28"/>
          <w:szCs w:val="28"/>
        </w:rPr>
        <w:t xml:space="preserve"> </w:t>
      </w:r>
      <w:r w:rsidRPr="005859CC">
        <w:rPr>
          <w:sz w:val="28"/>
          <w:szCs w:val="28"/>
        </w:rPr>
        <w:t>тис. грн.</w:t>
      </w:r>
    </w:p>
    <w:p w:rsidR="002478EF" w:rsidRPr="00F8612C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о</w:t>
      </w:r>
      <w:r w:rsidR="005859CC" w:rsidRPr="005859CC">
        <w:rPr>
          <w:sz w:val="28"/>
          <w:szCs w:val="28"/>
        </w:rPr>
        <w:t xml:space="preserve">рганізація благоустрою населених пунктів – </w:t>
      </w:r>
      <w:r w:rsidR="00B8149D" w:rsidRPr="00B8149D">
        <w:rPr>
          <w:sz w:val="28"/>
          <w:szCs w:val="28"/>
        </w:rPr>
        <w:t>6932</w:t>
      </w:r>
      <w:r w:rsidR="001A0F4E">
        <w:rPr>
          <w:sz w:val="28"/>
          <w:szCs w:val="28"/>
          <w:lang w:val="ru-RU"/>
        </w:rPr>
        <w:t>,</w:t>
      </w:r>
      <w:r w:rsidR="001A0F4E" w:rsidRPr="001A0F4E">
        <w:rPr>
          <w:sz w:val="28"/>
          <w:szCs w:val="28"/>
          <w:lang w:val="ru-RU"/>
        </w:rPr>
        <w:t>3</w:t>
      </w:r>
      <w:r w:rsidR="00784C94" w:rsidRPr="00784C94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>тис. грн.</w:t>
      </w:r>
    </w:p>
    <w:p w:rsidR="002478EF" w:rsidRPr="00F8612C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в</w:t>
      </w:r>
      <w:r w:rsidR="005859CC" w:rsidRPr="005859CC">
        <w:rPr>
          <w:sz w:val="28"/>
          <w:szCs w:val="28"/>
        </w:rPr>
        <w:t xml:space="preserve">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 – </w:t>
      </w:r>
      <w:r w:rsidR="001A0F4E" w:rsidRPr="001A0F4E">
        <w:rPr>
          <w:sz w:val="28"/>
          <w:szCs w:val="28"/>
        </w:rPr>
        <w:t>2320</w:t>
      </w:r>
      <w:r w:rsidR="001A0F4E">
        <w:rPr>
          <w:sz w:val="28"/>
          <w:szCs w:val="28"/>
        </w:rPr>
        <w:t>,</w:t>
      </w:r>
      <w:r w:rsidR="001A0F4E" w:rsidRPr="001A0F4E">
        <w:rPr>
          <w:sz w:val="28"/>
          <w:szCs w:val="28"/>
        </w:rPr>
        <w:t>7</w:t>
      </w:r>
      <w:r w:rsidR="005859CC" w:rsidRPr="005859CC">
        <w:rPr>
          <w:sz w:val="28"/>
          <w:szCs w:val="28"/>
        </w:rPr>
        <w:t xml:space="preserve"> тис. грн.</w:t>
      </w:r>
    </w:p>
    <w:p w:rsidR="002478EF" w:rsidRPr="00F8612C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доплата</w:t>
      </w:r>
      <w:r w:rsidR="005859CC" w:rsidRPr="005859CC">
        <w:rPr>
          <w:sz w:val="28"/>
          <w:szCs w:val="28"/>
        </w:rPr>
        <w:t xml:space="preserve"> водіям , ліквідація стихійних сміттєзвалищ</w:t>
      </w:r>
      <w:r w:rsidR="00784C94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 xml:space="preserve">– </w:t>
      </w:r>
      <w:r w:rsidR="00E917A4">
        <w:rPr>
          <w:sz w:val="28"/>
          <w:szCs w:val="28"/>
        </w:rPr>
        <w:t xml:space="preserve">295,0 </w:t>
      </w:r>
      <w:r w:rsidR="005859CC" w:rsidRPr="005859CC">
        <w:rPr>
          <w:sz w:val="28"/>
          <w:szCs w:val="28"/>
        </w:rPr>
        <w:t>тис.</w:t>
      </w:r>
      <w:r w:rsidR="002478EF" w:rsidRPr="002478EF">
        <w:rPr>
          <w:sz w:val="28"/>
          <w:szCs w:val="28"/>
          <w:lang w:val="ru-RU"/>
        </w:rPr>
        <w:t xml:space="preserve"> </w:t>
      </w:r>
      <w:r w:rsidR="005859CC" w:rsidRPr="005859CC">
        <w:rPr>
          <w:sz w:val="28"/>
          <w:szCs w:val="28"/>
        </w:rPr>
        <w:t>грн.</w:t>
      </w:r>
    </w:p>
    <w:p w:rsidR="002478EF" w:rsidRDefault="002478EF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78EF">
        <w:rPr>
          <w:sz w:val="28"/>
          <w:szCs w:val="28"/>
          <w:lang w:val="ru-RU"/>
        </w:rPr>
        <w:t xml:space="preserve">      </w:t>
      </w:r>
      <w:r w:rsidR="005859CC" w:rsidRPr="005859CC">
        <w:rPr>
          <w:sz w:val="28"/>
          <w:szCs w:val="28"/>
        </w:rPr>
        <w:t xml:space="preserve"> На «Економічну </w:t>
      </w:r>
      <w:r w:rsidR="00A8079E">
        <w:rPr>
          <w:sz w:val="28"/>
          <w:szCs w:val="28"/>
        </w:rPr>
        <w:t xml:space="preserve">та іншу </w:t>
      </w:r>
      <w:r w:rsidR="005859CC" w:rsidRPr="005859CC">
        <w:rPr>
          <w:sz w:val="28"/>
          <w:szCs w:val="28"/>
        </w:rPr>
        <w:t>д</w:t>
      </w:r>
      <w:r w:rsidR="001D4816">
        <w:rPr>
          <w:sz w:val="28"/>
          <w:szCs w:val="28"/>
        </w:rPr>
        <w:t xml:space="preserve">іяльність» у міському бюджеті </w:t>
      </w:r>
      <w:r w:rsidR="00FA2169" w:rsidRPr="00FA2169">
        <w:rPr>
          <w:sz w:val="28"/>
          <w:szCs w:val="28"/>
        </w:rPr>
        <w:t xml:space="preserve">І </w:t>
      </w:r>
      <w:r w:rsidR="00E917A4" w:rsidRPr="00E917A4">
        <w:rPr>
          <w:sz w:val="28"/>
          <w:szCs w:val="28"/>
        </w:rPr>
        <w:t>півріччя</w:t>
      </w:r>
      <w:r w:rsidR="00FA2169" w:rsidRPr="00FA2169">
        <w:rPr>
          <w:sz w:val="28"/>
          <w:szCs w:val="28"/>
        </w:rPr>
        <w:t xml:space="preserve"> 2023 року </w:t>
      </w:r>
      <w:r w:rsidR="00A8079E">
        <w:rPr>
          <w:sz w:val="28"/>
          <w:szCs w:val="28"/>
        </w:rPr>
        <w:t xml:space="preserve">використано  коштів в сумі </w:t>
      </w:r>
      <w:r w:rsidR="00E917A4">
        <w:rPr>
          <w:sz w:val="28"/>
          <w:szCs w:val="28"/>
        </w:rPr>
        <w:t>2673,1</w:t>
      </w:r>
      <w:r w:rsidR="00E917A4" w:rsidRPr="00E917A4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>тис. грн., в тому числі на:</w:t>
      </w:r>
    </w:p>
    <w:p w:rsidR="00A8079E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79E">
        <w:rPr>
          <w:sz w:val="28"/>
          <w:szCs w:val="28"/>
        </w:rPr>
        <w:t xml:space="preserve"> «</w:t>
      </w:r>
      <w:r w:rsidR="00A8079E" w:rsidRPr="00A8079E">
        <w:rPr>
          <w:sz w:val="28"/>
          <w:szCs w:val="28"/>
        </w:rPr>
        <w:t>Здійснення заходів із землеустрою</w:t>
      </w:r>
      <w:r w:rsidR="00A8079E">
        <w:rPr>
          <w:sz w:val="28"/>
          <w:szCs w:val="28"/>
        </w:rPr>
        <w:t xml:space="preserve">»- </w:t>
      </w:r>
      <w:r w:rsidR="00FA2169">
        <w:rPr>
          <w:sz w:val="28"/>
          <w:szCs w:val="28"/>
        </w:rPr>
        <w:t>500,6</w:t>
      </w:r>
      <w:r w:rsidR="00A8079E">
        <w:rPr>
          <w:sz w:val="28"/>
          <w:szCs w:val="28"/>
        </w:rPr>
        <w:t xml:space="preserve"> тис. грн. , які спрямовані на проведення інвентаризації землі в межах населених пунктів;</w:t>
      </w:r>
    </w:p>
    <w:p w:rsidR="002478EF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8EF">
        <w:rPr>
          <w:sz w:val="28"/>
          <w:szCs w:val="28"/>
        </w:rPr>
        <w:t xml:space="preserve"> </w:t>
      </w:r>
      <w:r w:rsidR="005859CC" w:rsidRPr="005859CC">
        <w:rPr>
          <w:sz w:val="28"/>
          <w:szCs w:val="28"/>
        </w:rPr>
        <w:t xml:space="preserve">«Утримання та розвиток автомобільних доріг та дорожньої інфраструктури за рахунок коштів </w:t>
      </w:r>
      <w:r w:rsidR="00B875C2">
        <w:rPr>
          <w:sz w:val="28"/>
          <w:szCs w:val="28"/>
        </w:rPr>
        <w:t xml:space="preserve">місцевого бюджету» - </w:t>
      </w:r>
      <w:r w:rsidR="00E917A4" w:rsidRPr="00E917A4">
        <w:rPr>
          <w:sz w:val="28"/>
          <w:szCs w:val="28"/>
        </w:rPr>
        <w:t>1214</w:t>
      </w:r>
      <w:r w:rsidR="00E917A4">
        <w:rPr>
          <w:sz w:val="28"/>
          <w:szCs w:val="28"/>
        </w:rPr>
        <w:t>,4</w:t>
      </w:r>
      <w:r w:rsidR="00E917A4" w:rsidRPr="00E917A4">
        <w:rPr>
          <w:sz w:val="28"/>
          <w:szCs w:val="28"/>
        </w:rPr>
        <w:t xml:space="preserve"> </w:t>
      </w:r>
      <w:r w:rsidR="002478EF">
        <w:rPr>
          <w:sz w:val="28"/>
          <w:szCs w:val="28"/>
        </w:rPr>
        <w:t xml:space="preserve">тис. </w:t>
      </w:r>
      <w:r w:rsidR="005859CC" w:rsidRPr="005859CC">
        <w:rPr>
          <w:sz w:val="28"/>
          <w:szCs w:val="28"/>
        </w:rPr>
        <w:t xml:space="preserve">грн., які спрямовані на </w:t>
      </w:r>
      <w:r w:rsidR="00BA0DB1">
        <w:rPr>
          <w:sz w:val="28"/>
          <w:szCs w:val="28"/>
        </w:rPr>
        <w:t xml:space="preserve">експлуатаційне </w:t>
      </w:r>
      <w:r w:rsidR="005859CC" w:rsidRPr="005859CC">
        <w:rPr>
          <w:sz w:val="28"/>
          <w:szCs w:val="28"/>
        </w:rPr>
        <w:t>утримання  вулиць міст</w:t>
      </w:r>
      <w:r w:rsidR="00BA0DB1">
        <w:rPr>
          <w:sz w:val="28"/>
          <w:szCs w:val="28"/>
        </w:rPr>
        <w:t>а та сіл територіальної громади;</w:t>
      </w:r>
    </w:p>
    <w:p w:rsidR="00E917A4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7A4" w:rsidRPr="00E917A4">
        <w:rPr>
          <w:sz w:val="28"/>
          <w:szCs w:val="28"/>
        </w:rPr>
        <w:t xml:space="preserve"> «Забезпечення діяльності місцевої та добровіль</w:t>
      </w:r>
      <w:r w:rsidR="00E917A4">
        <w:rPr>
          <w:sz w:val="28"/>
          <w:szCs w:val="28"/>
        </w:rPr>
        <w:t>ної пожежної охорони» в сумі 506</w:t>
      </w:r>
      <w:r w:rsidR="00E917A4" w:rsidRPr="00E917A4">
        <w:rPr>
          <w:sz w:val="28"/>
          <w:szCs w:val="28"/>
        </w:rPr>
        <w:t>,6</w:t>
      </w:r>
      <w:r w:rsidR="00E917A4">
        <w:rPr>
          <w:sz w:val="28"/>
          <w:szCs w:val="28"/>
        </w:rPr>
        <w:t xml:space="preserve"> </w:t>
      </w:r>
      <w:r w:rsidR="00E917A4" w:rsidRPr="00E917A4">
        <w:rPr>
          <w:sz w:val="28"/>
          <w:szCs w:val="28"/>
        </w:rPr>
        <w:t>тис. грн.;</w:t>
      </w:r>
    </w:p>
    <w:p w:rsidR="00FA2169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169" w:rsidRPr="00FA2169">
        <w:rPr>
          <w:sz w:val="28"/>
          <w:szCs w:val="28"/>
        </w:rPr>
        <w:t>«</w:t>
      </w:r>
      <w:r w:rsidR="00E917A4" w:rsidRPr="00E917A4">
        <w:rPr>
          <w:sz w:val="28"/>
          <w:szCs w:val="28"/>
        </w:rPr>
        <w:t>Інші заходи громадського порядку та безпеки</w:t>
      </w:r>
      <w:r w:rsidR="00E917A4">
        <w:rPr>
          <w:sz w:val="28"/>
          <w:szCs w:val="28"/>
        </w:rPr>
        <w:t xml:space="preserve">» в сумі </w:t>
      </w:r>
      <w:r w:rsidR="003E65D2">
        <w:rPr>
          <w:sz w:val="28"/>
          <w:szCs w:val="28"/>
        </w:rPr>
        <w:t>43,8</w:t>
      </w:r>
      <w:r w:rsidR="00E917A4">
        <w:rPr>
          <w:sz w:val="28"/>
          <w:szCs w:val="28"/>
        </w:rPr>
        <w:t xml:space="preserve"> </w:t>
      </w:r>
      <w:r w:rsidR="00FA2169">
        <w:rPr>
          <w:sz w:val="28"/>
          <w:szCs w:val="28"/>
        </w:rPr>
        <w:t>тис. грн.</w:t>
      </w:r>
    </w:p>
    <w:p w:rsidR="003E65D2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5D2" w:rsidRPr="003E65D2">
        <w:rPr>
          <w:sz w:val="28"/>
          <w:szCs w:val="28"/>
        </w:rPr>
        <w:t xml:space="preserve"> «Заходи та роботи з територіальної оборони» в сумі </w:t>
      </w:r>
      <w:r w:rsidR="003E65D2">
        <w:rPr>
          <w:sz w:val="28"/>
          <w:szCs w:val="28"/>
        </w:rPr>
        <w:t>155,2</w:t>
      </w:r>
      <w:r w:rsidR="003E65D2" w:rsidRPr="003E65D2">
        <w:rPr>
          <w:sz w:val="28"/>
          <w:szCs w:val="28"/>
        </w:rPr>
        <w:t xml:space="preserve"> тис. грн.</w:t>
      </w:r>
    </w:p>
    <w:p w:rsidR="00E917A4" w:rsidRDefault="00876D9C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5D2" w:rsidRPr="003E65D2">
        <w:rPr>
          <w:sz w:val="28"/>
          <w:szCs w:val="28"/>
        </w:rPr>
        <w:t xml:space="preserve"> «Охорона та раціональне використання природних ресурсів» в сумі </w:t>
      </w:r>
      <w:r w:rsidR="003E65D2">
        <w:rPr>
          <w:sz w:val="28"/>
          <w:szCs w:val="28"/>
        </w:rPr>
        <w:t>73,1</w:t>
      </w:r>
      <w:r w:rsidR="003E65D2" w:rsidRPr="003E65D2">
        <w:rPr>
          <w:sz w:val="28"/>
          <w:szCs w:val="28"/>
        </w:rPr>
        <w:t xml:space="preserve"> тис. грн.</w:t>
      </w:r>
    </w:p>
    <w:p w:rsidR="00784C94" w:rsidRDefault="002478EF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59CC" w:rsidRPr="005859CC">
        <w:rPr>
          <w:sz w:val="28"/>
          <w:szCs w:val="28"/>
        </w:rPr>
        <w:t>В звітному періоді передано</w:t>
      </w:r>
      <w:r w:rsidR="00784C94">
        <w:rPr>
          <w:sz w:val="28"/>
          <w:szCs w:val="28"/>
        </w:rPr>
        <w:t xml:space="preserve"> міжбюджетних </w:t>
      </w:r>
      <w:r w:rsidR="00AF0E6E">
        <w:rPr>
          <w:sz w:val="28"/>
          <w:szCs w:val="28"/>
        </w:rPr>
        <w:t xml:space="preserve">трансфертів в сумі </w:t>
      </w:r>
      <w:r w:rsidR="003E65D2">
        <w:rPr>
          <w:sz w:val="28"/>
          <w:szCs w:val="28"/>
        </w:rPr>
        <w:t>885</w:t>
      </w:r>
      <w:r w:rsidR="00276D06">
        <w:rPr>
          <w:sz w:val="28"/>
          <w:szCs w:val="28"/>
        </w:rPr>
        <w:t>,0</w:t>
      </w:r>
      <w:r w:rsidR="00AF0E6E" w:rsidRPr="00AF0E6E">
        <w:rPr>
          <w:sz w:val="28"/>
          <w:szCs w:val="28"/>
        </w:rPr>
        <w:t xml:space="preserve"> тис. грн</w:t>
      </w:r>
      <w:r w:rsidR="00AF0E6E">
        <w:rPr>
          <w:sz w:val="28"/>
          <w:szCs w:val="28"/>
        </w:rPr>
        <w:t>.:</w:t>
      </w:r>
    </w:p>
    <w:p w:rsidR="002478EF" w:rsidRDefault="00924A4E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755DF">
        <w:rPr>
          <w:sz w:val="28"/>
          <w:szCs w:val="28"/>
        </w:rPr>
        <w:t xml:space="preserve"> С</w:t>
      </w:r>
      <w:r w:rsidR="005859CC" w:rsidRPr="005859CC">
        <w:rPr>
          <w:sz w:val="28"/>
          <w:szCs w:val="28"/>
        </w:rPr>
        <w:t>убвенцію з місцевого бюджету державному бюджету на виконання програм соціально-економі</w:t>
      </w:r>
      <w:r w:rsidR="00DB48E2">
        <w:rPr>
          <w:sz w:val="28"/>
          <w:szCs w:val="28"/>
        </w:rPr>
        <w:t>ч</w:t>
      </w:r>
      <w:r w:rsidR="007755DF">
        <w:rPr>
          <w:sz w:val="28"/>
          <w:szCs w:val="28"/>
        </w:rPr>
        <w:t xml:space="preserve">ного розвитку регіонів в сумі </w:t>
      </w:r>
      <w:r w:rsidR="003E65D2">
        <w:rPr>
          <w:sz w:val="28"/>
          <w:szCs w:val="28"/>
        </w:rPr>
        <w:t>885</w:t>
      </w:r>
      <w:r>
        <w:rPr>
          <w:sz w:val="28"/>
          <w:szCs w:val="28"/>
        </w:rPr>
        <w:t>,0</w:t>
      </w:r>
      <w:r w:rsidR="005859CC" w:rsidRPr="005859CC">
        <w:rPr>
          <w:sz w:val="28"/>
          <w:szCs w:val="28"/>
        </w:rPr>
        <w:t xml:space="preserve"> тис. грн. , а саме:</w:t>
      </w:r>
    </w:p>
    <w:p w:rsidR="00573BDD" w:rsidRDefault="00573BDD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A4E" w:rsidRPr="00924A4E">
        <w:rPr>
          <w:sz w:val="28"/>
          <w:szCs w:val="28"/>
        </w:rPr>
        <w:t>військової частини 1241 Національної Гвардії України Міністерства внутрішніх Справ України</w:t>
      </w:r>
      <w:r w:rsidR="00924A4E" w:rsidRPr="00924A4E">
        <w:t xml:space="preserve"> </w:t>
      </w:r>
      <w:r w:rsidR="00924A4E" w:rsidRPr="00924A4E">
        <w:rPr>
          <w:sz w:val="28"/>
          <w:szCs w:val="28"/>
        </w:rPr>
        <w:t xml:space="preserve">на реалізацію заходів Програми підтримки підрозділів територіальної оборони  та Збройних Сил України  на 2023 рік (зміцнення матеріально-технічної бази військової частини 1241 Національної Гвардії України Міністерства внутрішніх Справ України, зокрема закупівлі засобів зв’язку, засобів захисту, комплектуючих матеріалів, теплого одягу та засобів обігріву тощо ) </w:t>
      </w:r>
      <w:r w:rsidR="00924A4E">
        <w:rPr>
          <w:sz w:val="28"/>
          <w:szCs w:val="28"/>
        </w:rPr>
        <w:t>– 30</w:t>
      </w:r>
      <w:r>
        <w:rPr>
          <w:sz w:val="28"/>
          <w:szCs w:val="28"/>
        </w:rPr>
        <w:t xml:space="preserve">0,0 </w:t>
      </w:r>
      <w:r w:rsidRPr="00573BDD">
        <w:rPr>
          <w:sz w:val="28"/>
          <w:szCs w:val="28"/>
        </w:rPr>
        <w:t>тис. грн.</w:t>
      </w:r>
    </w:p>
    <w:p w:rsidR="003E65D2" w:rsidRDefault="003E65D2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5D2">
        <w:rPr>
          <w:sz w:val="28"/>
          <w:szCs w:val="28"/>
        </w:rPr>
        <w:t xml:space="preserve">на реалізацію заходів Програми забезпечення заходів у сфері державної безпеки України та ефективної діяльності </w:t>
      </w:r>
      <w:proofErr w:type="spellStart"/>
      <w:r w:rsidRPr="003E65D2">
        <w:rPr>
          <w:sz w:val="28"/>
          <w:szCs w:val="28"/>
        </w:rPr>
        <w:t>Управлінн</w:t>
      </w:r>
      <w:proofErr w:type="spellEnd"/>
      <w:r w:rsidRPr="003E65D2">
        <w:rPr>
          <w:sz w:val="28"/>
          <w:szCs w:val="28"/>
        </w:rPr>
        <w:t xml:space="preserve"> Служби безпеки України в Івано-Франківській області на 2023 рік (придбання комп’ютерної техніки та технічних засобів  )</w:t>
      </w:r>
      <w:r w:rsidR="006E75C1" w:rsidRPr="006E75C1">
        <w:t xml:space="preserve"> </w:t>
      </w:r>
      <w:r w:rsidR="006E75C1" w:rsidRPr="006E75C1">
        <w:rPr>
          <w:sz w:val="28"/>
          <w:szCs w:val="28"/>
        </w:rPr>
        <w:t>– 300,0 тис. грн.</w:t>
      </w:r>
    </w:p>
    <w:p w:rsidR="003E65D2" w:rsidRDefault="006E75C1" w:rsidP="002478EF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75C1">
        <w:rPr>
          <w:sz w:val="28"/>
          <w:szCs w:val="28"/>
        </w:rPr>
        <w:t xml:space="preserve"> на покращення матеріально-технічного забезпечення відділення поліції №4 (</w:t>
      </w:r>
      <w:proofErr w:type="spellStart"/>
      <w:r w:rsidRPr="006E75C1">
        <w:rPr>
          <w:sz w:val="28"/>
          <w:szCs w:val="28"/>
        </w:rPr>
        <w:t>м.Рогатин</w:t>
      </w:r>
      <w:proofErr w:type="spellEnd"/>
      <w:r w:rsidRPr="006E75C1">
        <w:rPr>
          <w:sz w:val="28"/>
          <w:szCs w:val="28"/>
        </w:rPr>
        <w:t>) Івано-Франківського районного Управління поліції ГУНП в Івано-Франківській області придбання та встановлення кондиціонерів, придбання будівельних матеріалів, придбання офісних меблів, заправка та ремонт картриджів, купівля канцтоварів»</w:t>
      </w:r>
      <w:r w:rsidRPr="006E75C1">
        <w:t xml:space="preserve"> </w:t>
      </w:r>
      <w:r>
        <w:rPr>
          <w:sz w:val="28"/>
          <w:szCs w:val="28"/>
        </w:rPr>
        <w:t>– 285</w:t>
      </w:r>
      <w:r w:rsidRPr="006E75C1">
        <w:rPr>
          <w:sz w:val="28"/>
          <w:szCs w:val="28"/>
        </w:rPr>
        <w:t>,0 тис. грн..</w:t>
      </w:r>
    </w:p>
    <w:p w:rsidR="00551BC8" w:rsidRPr="0017088A" w:rsidRDefault="0017088A" w:rsidP="00112DF9">
      <w:pPr>
        <w:pStyle w:val="tj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Пропозиції заінтересованих  учасників</w:t>
      </w:r>
      <w:r w:rsidR="002763B0">
        <w:rPr>
          <w:b/>
          <w:color w:val="000000"/>
          <w:sz w:val="27"/>
          <w:szCs w:val="27"/>
        </w:rPr>
        <w:t>.</w:t>
      </w:r>
    </w:p>
    <w:p w:rsidR="00657E83" w:rsidRDefault="00657E83" w:rsidP="00657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</w:t>
      </w:r>
      <w:r w:rsidR="00112DF9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="00112DF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пропозицій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зацікавлених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551BC8" w:rsidRDefault="00657E83" w:rsidP="00657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 w:rsidR="002763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 w:rsidR="002763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Громадське</w:t>
      </w:r>
      <w:proofErr w:type="spellEnd"/>
      <w:r w:rsidR="002763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2763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обговорення</w:t>
      </w:r>
      <w:proofErr w:type="spellEnd"/>
      <w:r w:rsidR="002763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657E83" w:rsidRDefault="00657E83" w:rsidP="00657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</w:t>
      </w:r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громадського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>обговорення</w:t>
      </w:r>
      <w:proofErr w:type="spellEnd"/>
      <w:r w:rsidR="002763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proofErr w:type="gramEnd"/>
    </w:p>
    <w:p w:rsidR="00551BC8" w:rsidRPr="00D91222" w:rsidRDefault="00657E83" w:rsidP="00657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 w:rsidR="002763B0" w:rsidRPr="00D912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. Прогноз результатів.</w:t>
      </w:r>
    </w:p>
    <w:p w:rsidR="00551BC8" w:rsidRPr="00657E83" w:rsidRDefault="008F2FE0" w:rsidP="002478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</w:t>
      </w:r>
      <w:r w:rsidR="00657E83" w:rsidRPr="00D912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Прийняття</w:t>
      </w:r>
      <w:r w:rsidR="0011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2DF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57E83" w:rsidRPr="00D9122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57E83" w:rsidRPr="00D9122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657E8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«</w:t>
      </w:r>
      <w:r w:rsidR="002478EF" w:rsidRPr="002478E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Звіт про виконання  бюджету  </w:t>
      </w:r>
      <w:proofErr w:type="spellStart"/>
      <w:r w:rsidR="002478EF" w:rsidRPr="002478EF">
        <w:rPr>
          <w:rFonts w:ascii="Times New Roman" w:hAnsi="Times New Roman" w:cs="Times New Roman"/>
          <w:sz w:val="28"/>
          <w:szCs w:val="28"/>
          <w:lang w:val="uk-UA" w:eastAsia="en-US"/>
        </w:rPr>
        <w:t>Рогатинської</w:t>
      </w:r>
      <w:proofErr w:type="spellEnd"/>
      <w:r w:rsidR="002478EF" w:rsidRPr="002478E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міської територіальної</w:t>
      </w:r>
      <w:r w:rsidR="00924A4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громади </w:t>
      </w:r>
      <w:r w:rsidR="00924A4E" w:rsidRPr="00924A4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 І </w:t>
      </w:r>
      <w:r w:rsidR="006E75C1" w:rsidRPr="006E75C1">
        <w:rPr>
          <w:rFonts w:ascii="Times New Roman" w:hAnsi="Times New Roman" w:cs="Times New Roman"/>
          <w:sz w:val="28"/>
          <w:szCs w:val="28"/>
          <w:lang w:val="uk-UA" w:eastAsia="en-US"/>
        </w:rPr>
        <w:t>півріччя</w:t>
      </w:r>
      <w:r w:rsidR="00924A4E" w:rsidRPr="00924A4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2023 року</w:t>
      </w:r>
      <w:r w:rsidR="0048004C" w:rsidRPr="0048004C"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  <w:r w:rsidR="0048004C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657E83" w:rsidRPr="00D91222">
        <w:rPr>
          <w:rFonts w:ascii="Times New Roman" w:hAnsi="Times New Roman" w:cs="Times New Roman"/>
          <w:sz w:val="28"/>
          <w:szCs w:val="28"/>
          <w:lang w:val="uk-UA"/>
        </w:rPr>
        <w:t xml:space="preserve">дозволить </w:t>
      </w:r>
      <w:r w:rsidR="0048004C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проінформувати </w:t>
      </w:r>
      <w:r w:rsidR="0048004C" w:rsidRPr="0048004C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="0048004C">
        <w:rPr>
          <w:rFonts w:ascii="Times New Roman" w:hAnsi="Times New Roman" w:cs="Times New Roman"/>
          <w:sz w:val="28"/>
          <w:szCs w:val="28"/>
          <w:lang w:val="uk-UA"/>
        </w:rPr>
        <w:t>ськість</w:t>
      </w:r>
      <w:r w:rsidR="0048004C" w:rsidRPr="0048004C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бюджету</w:t>
      </w:r>
      <w:r w:rsidR="00657E83" w:rsidRPr="00D912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BC8" w:rsidRPr="00D91222" w:rsidRDefault="00657E83" w:rsidP="00112D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 w:rsidR="002763B0" w:rsidRPr="00D912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. Оприлюднення.</w:t>
      </w:r>
    </w:p>
    <w:p w:rsidR="00551BC8" w:rsidRDefault="00112DF9" w:rsidP="002478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Проє</w:t>
      </w:r>
      <w:r w:rsidR="002763B0" w:rsidRPr="00D9122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кт</w:t>
      </w:r>
      <w:proofErr w:type="spellEnd"/>
      <w:r w:rsidR="002763B0" w:rsidRPr="00D9122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рішення </w:t>
      </w:r>
      <w:r w:rsidR="0048004C" w:rsidRPr="0048004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«</w:t>
      </w:r>
      <w:r w:rsidR="002478EF" w:rsidRPr="002478E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Звіт про виконання  бюджету  </w:t>
      </w:r>
      <w:proofErr w:type="spellStart"/>
      <w:r w:rsidR="002478EF" w:rsidRPr="002478E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Рогатинської</w:t>
      </w:r>
      <w:proofErr w:type="spellEnd"/>
      <w:r w:rsidR="002478EF" w:rsidRPr="002478E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міської територіальної</w:t>
      </w:r>
      <w:r w:rsidR="002478E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громади </w:t>
      </w:r>
      <w:r w:rsidR="00924A4E" w:rsidRPr="00924A4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 І </w:t>
      </w:r>
      <w:r w:rsidR="006E75C1" w:rsidRPr="006E75C1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півріччя</w:t>
      </w:r>
      <w:r w:rsidR="00924A4E" w:rsidRPr="00924A4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2023 року</w:t>
      </w:r>
      <w:r w:rsidR="0048004C" w:rsidRPr="0048004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17088A" w:rsidRPr="00D9122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оприлюднено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на офіційному сайті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 ради у розділі «Документи», </w:t>
      </w:r>
      <w:r w:rsidR="008E757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«</w:t>
      </w:r>
      <w:proofErr w:type="spellStart"/>
      <w:r w:rsidR="008E757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Проєкт</w:t>
      </w:r>
      <w:proofErr w:type="spellEnd"/>
      <w:r w:rsidR="008E757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рішень </w:t>
      </w:r>
      <w:proofErr w:type="spellStart"/>
      <w:r w:rsidR="008E757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виконконавчого</w:t>
      </w:r>
      <w:proofErr w:type="spellEnd"/>
      <w:r w:rsidR="008E757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комітету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2763B0" w:rsidRPr="00D9122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.   </w:t>
      </w:r>
    </w:p>
    <w:p w:rsidR="00112DF9" w:rsidRDefault="002763B0" w:rsidP="002763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Відповідальний за підготовку</w:t>
      </w:r>
      <w:r w:rsidR="00112DF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Марія </w:t>
      </w:r>
      <w:proofErr w:type="spellStart"/>
      <w:r w:rsidR="00112DF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Гураль</w:t>
      </w:r>
      <w:proofErr w:type="spellEnd"/>
    </w:p>
    <w:p w:rsidR="00112DF9" w:rsidRDefault="00112DF9" w:rsidP="002763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_____________                 ________________</w:t>
      </w:r>
    </w:p>
    <w:sectPr w:rsidR="00112DF9" w:rsidSect="00112DF9">
      <w:pgSz w:w="11900" w:h="16820"/>
      <w:pgMar w:top="850" w:right="850" w:bottom="850" w:left="141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6054"/>
    <w:multiLevelType w:val="hybridMultilevel"/>
    <w:tmpl w:val="AC48B1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51BC8"/>
    <w:rsid w:val="0004357F"/>
    <w:rsid w:val="0006009C"/>
    <w:rsid w:val="00092FF7"/>
    <w:rsid w:val="000B082D"/>
    <w:rsid w:val="000B4945"/>
    <w:rsid w:val="000B5BD4"/>
    <w:rsid w:val="000C1331"/>
    <w:rsid w:val="000C4B56"/>
    <w:rsid w:val="00112DF9"/>
    <w:rsid w:val="00121457"/>
    <w:rsid w:val="00144E54"/>
    <w:rsid w:val="001571D3"/>
    <w:rsid w:val="0017088A"/>
    <w:rsid w:val="001A0F4E"/>
    <w:rsid w:val="001C7FCD"/>
    <w:rsid w:val="001D4816"/>
    <w:rsid w:val="001F08C1"/>
    <w:rsid w:val="00203C87"/>
    <w:rsid w:val="002478EF"/>
    <w:rsid w:val="002763B0"/>
    <w:rsid w:val="00276D06"/>
    <w:rsid w:val="002B2D96"/>
    <w:rsid w:val="00314042"/>
    <w:rsid w:val="00331AD8"/>
    <w:rsid w:val="0034157A"/>
    <w:rsid w:val="00343A1A"/>
    <w:rsid w:val="003A3C22"/>
    <w:rsid w:val="003A7BBD"/>
    <w:rsid w:val="003E65D2"/>
    <w:rsid w:val="004041BC"/>
    <w:rsid w:val="004164F3"/>
    <w:rsid w:val="00432FBE"/>
    <w:rsid w:val="0048004C"/>
    <w:rsid w:val="004A2892"/>
    <w:rsid w:val="004A77BC"/>
    <w:rsid w:val="004E537B"/>
    <w:rsid w:val="0053558C"/>
    <w:rsid w:val="00551BC8"/>
    <w:rsid w:val="00573BDD"/>
    <w:rsid w:val="005859CC"/>
    <w:rsid w:val="005956F2"/>
    <w:rsid w:val="005E6F25"/>
    <w:rsid w:val="0060016F"/>
    <w:rsid w:val="00617559"/>
    <w:rsid w:val="00657E83"/>
    <w:rsid w:val="006729A9"/>
    <w:rsid w:val="006E75C1"/>
    <w:rsid w:val="00703699"/>
    <w:rsid w:val="00732A07"/>
    <w:rsid w:val="0073580B"/>
    <w:rsid w:val="007755DF"/>
    <w:rsid w:val="00784C94"/>
    <w:rsid w:val="007A37EE"/>
    <w:rsid w:val="007C3AB7"/>
    <w:rsid w:val="008154A4"/>
    <w:rsid w:val="00816FD0"/>
    <w:rsid w:val="00876D9C"/>
    <w:rsid w:val="00882DFF"/>
    <w:rsid w:val="00890085"/>
    <w:rsid w:val="0089507E"/>
    <w:rsid w:val="008B23D3"/>
    <w:rsid w:val="008E757B"/>
    <w:rsid w:val="008F2FE0"/>
    <w:rsid w:val="008F6A31"/>
    <w:rsid w:val="00924A4E"/>
    <w:rsid w:val="009254D9"/>
    <w:rsid w:val="00936A6C"/>
    <w:rsid w:val="009419FA"/>
    <w:rsid w:val="00945F24"/>
    <w:rsid w:val="009528D5"/>
    <w:rsid w:val="00960D5F"/>
    <w:rsid w:val="00965CD1"/>
    <w:rsid w:val="009A047F"/>
    <w:rsid w:val="009E4F3D"/>
    <w:rsid w:val="00A436F2"/>
    <w:rsid w:val="00A8079E"/>
    <w:rsid w:val="00A8158D"/>
    <w:rsid w:val="00A84943"/>
    <w:rsid w:val="00AA046D"/>
    <w:rsid w:val="00AF0381"/>
    <w:rsid w:val="00AF0E6E"/>
    <w:rsid w:val="00B136A9"/>
    <w:rsid w:val="00B75822"/>
    <w:rsid w:val="00B8149D"/>
    <w:rsid w:val="00B875C2"/>
    <w:rsid w:val="00B95C84"/>
    <w:rsid w:val="00BA0DB1"/>
    <w:rsid w:val="00BB4475"/>
    <w:rsid w:val="00C317E1"/>
    <w:rsid w:val="00C65455"/>
    <w:rsid w:val="00CD3CC5"/>
    <w:rsid w:val="00CF54DB"/>
    <w:rsid w:val="00D6625D"/>
    <w:rsid w:val="00D91222"/>
    <w:rsid w:val="00D95589"/>
    <w:rsid w:val="00DA2DC7"/>
    <w:rsid w:val="00DB38E6"/>
    <w:rsid w:val="00DB48E2"/>
    <w:rsid w:val="00DF1AE6"/>
    <w:rsid w:val="00E62F78"/>
    <w:rsid w:val="00E917A4"/>
    <w:rsid w:val="00EA40EE"/>
    <w:rsid w:val="00F422E2"/>
    <w:rsid w:val="00F81D3E"/>
    <w:rsid w:val="00F8612C"/>
    <w:rsid w:val="00F86186"/>
    <w:rsid w:val="00FA2169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B895"/>
  <w15:docId w15:val="{D4F810B3-9201-4ACC-A2D0-C09EBE9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51B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51B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51B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51B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51B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51B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1BC8"/>
  </w:style>
  <w:style w:type="table" w:customStyle="1" w:styleId="TableNormal">
    <w:name w:val="Table Normal"/>
    <w:rsid w:val="00551B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51B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51B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6625D"/>
    <w:pPr>
      <w:spacing w:after="200"/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paragraph" w:customStyle="1" w:styleId="tj">
    <w:name w:val="tj"/>
    <w:basedOn w:val="a"/>
    <w:rsid w:val="000B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ard-blue-color">
    <w:name w:val="hard-blue-color"/>
    <w:basedOn w:val="a0"/>
    <w:rsid w:val="000B5BD4"/>
  </w:style>
  <w:style w:type="character" w:styleId="a6">
    <w:name w:val="Strong"/>
    <w:qFormat/>
    <w:rsid w:val="005859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3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8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91278834048182"/>
          <c:y val="0.22476950448308056"/>
          <c:w val="0.51173224905605663"/>
          <c:h val="0.7440585826771654"/>
        </c:manualLayout>
      </c:layout>
      <c:pieChart>
        <c:varyColors val="1"/>
        <c:ser>
          <c:idx val="0"/>
          <c:order val="0"/>
          <c:tx>
            <c:strRef>
              <c:f>Лист1!$A$29</c:f>
              <c:strCache>
                <c:ptCount val="1"/>
                <c:pt idx="0">
                  <c:v>Структура доходів загального фонду (без трансфертів)</c:v>
                </c:pt>
              </c:strCache>
            </c:strRef>
          </c:tx>
          <c:explosion val="1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07D-415E-904E-E2C98B2E2A27}"/>
              </c:ext>
            </c:extLst>
          </c:dPt>
          <c:dLbls>
            <c:dLbl>
              <c:idx val="0"/>
              <c:layout>
                <c:manualLayout>
                  <c:x val="5.2493438320209973E-2"/>
                  <c:y val="8.06916426512968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7D-415E-904E-E2C98B2E2A27}"/>
                </c:ext>
              </c:extLst>
            </c:dLbl>
            <c:dLbl>
              <c:idx val="1"/>
              <c:layout>
                <c:manualLayout>
                  <c:x val="4.1994750656167978E-3"/>
                  <c:y val="4.6109510086455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7D-415E-904E-E2C98B2E2A27}"/>
                </c:ext>
              </c:extLst>
            </c:dLbl>
            <c:dLbl>
              <c:idx val="2"/>
              <c:layout>
                <c:manualLayout>
                  <c:x val="-2.9396325459317574E-2"/>
                  <c:y val="-4.99519692603266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7D-415E-904E-E2C98B2E2A27}"/>
                </c:ext>
              </c:extLst>
            </c:dLbl>
            <c:dLbl>
              <c:idx val="3"/>
              <c:layout>
                <c:manualLayout>
                  <c:x val="-3.1496062992125984E-2"/>
                  <c:y val="-7.68491834774255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7D-415E-904E-E2C98B2E2A27}"/>
                </c:ext>
              </c:extLst>
            </c:dLbl>
            <c:dLbl>
              <c:idx val="4"/>
              <c:layout>
                <c:manualLayout>
                  <c:x val="4.1994750656167597E-3"/>
                  <c:y val="-4.2267050912584064E-2"/>
                </c:manualLayout>
              </c:layout>
              <c:numFmt formatCode="0.0%" sourceLinked="0"/>
              <c:spPr>
                <a:noFill/>
                <a:ln>
                  <a:solidFill>
                    <a:schemeClr val="accent1"/>
                  </a:solidFill>
                </a:ln>
                <a:effectLst/>
              </c:spPr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07D-415E-904E-E2C98B2E2A2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Лист1!$A$30:$A$35</c:f>
              <c:strCache>
                <c:ptCount val="5"/>
                <c:pt idx="0">
                  <c:v>податки на доходи, податки на прибуток, податки на збільшення ринкової вартості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внутрішні податкии на товари та послуги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Лист1!$G$30:$G$35</c:f>
              <c:numCache>
                <c:formatCode>General</c:formatCode>
                <c:ptCount val="6"/>
                <c:pt idx="0">
                  <c:v>47942</c:v>
                </c:pt>
                <c:pt idx="1">
                  <c:v>163.30000000000001</c:v>
                </c:pt>
                <c:pt idx="2">
                  <c:v>5327.2</c:v>
                </c:pt>
                <c:pt idx="3">
                  <c:v>24626.799999999999</c:v>
                </c:pt>
                <c:pt idx="4">
                  <c:v>2411.9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7D-415E-904E-E2C98B2E2A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delete val="1"/>
      </c:legendEntry>
      <c:overlay val="0"/>
      <c:txPr>
        <a:bodyPr/>
        <a:lstStyle/>
        <a:p>
          <a:pPr rtl="0">
            <a:defRPr b="1"/>
          </a:pPr>
          <a:endParaRPr lang="en-US"/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87742427133760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976049786419253E-2"/>
          <c:y val="0.41387561068140821"/>
          <c:w val="0.95615345599903578"/>
          <c:h val="0.43802480854276776"/>
        </c:manualLayout>
      </c:layout>
      <c:pie3DChart>
        <c:varyColors val="1"/>
        <c:ser>
          <c:idx val="0"/>
          <c:order val="0"/>
          <c:tx>
            <c:strRef>
              <c:f>Лист1!$A$79:$G$79</c:f>
              <c:strCache>
                <c:ptCount val="1"/>
                <c:pt idx="0">
                  <c:v>Структура доходів спеціального  фонду (без урахування трансфертів)</c:v>
                </c:pt>
              </c:strCache>
            </c:strRef>
          </c:tx>
          <c:explosion val="5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CDF-4637-9519-C7F74674BC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CDF-4637-9519-C7F74674BC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CDF-4637-9519-C7F74674BC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CDF-4637-9519-C7F74674BC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ACDF-4637-9519-C7F74674BCB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ACDF-4637-9519-C7F74674BCB3}"/>
              </c:ext>
            </c:extLst>
          </c:dPt>
          <c:dLbls>
            <c:dLbl>
              <c:idx val="0"/>
              <c:layout>
                <c:manualLayout>
                  <c:x val="2.5909321455115202E-2"/>
                  <c:y val="7.305936073059360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DF-4637-9519-C7F74674BCB3}"/>
                </c:ext>
              </c:extLst>
            </c:dLbl>
            <c:dLbl>
              <c:idx val="1"/>
              <c:layout>
                <c:manualLayout>
                  <c:x val="-0.11391063492995081"/>
                  <c:y val="4.018265125676938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DF-4637-9519-C7F74674BCB3}"/>
                </c:ext>
              </c:extLst>
            </c:dLbl>
            <c:dLbl>
              <c:idx val="2"/>
              <c:layout>
                <c:manualLayout>
                  <c:x val="-8.7693088001928404E-2"/>
                  <c:y val="-2.19178082191781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DF-4637-9519-C7F74674BCB3}"/>
                </c:ext>
              </c:extLst>
            </c:dLbl>
            <c:dLbl>
              <c:idx val="3"/>
              <c:layout>
                <c:manualLayout>
                  <c:x val="-4.3846544000964223E-2"/>
                  <c:y val="-4.74885844748858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DF-4637-9519-C7F74674BCB3}"/>
                </c:ext>
              </c:extLst>
            </c:dLbl>
            <c:dLbl>
              <c:idx val="4"/>
              <c:layout>
                <c:manualLayout>
                  <c:x val="0"/>
                  <c:y val="-4.38356164383561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DF-4637-9519-C7F74674BCB3}"/>
                </c:ext>
              </c:extLst>
            </c:dLbl>
            <c:dLbl>
              <c:idx val="5"/>
              <c:layout>
                <c:manualLayout>
                  <c:x val="3.388142036438134E-2"/>
                  <c:y val="-4.38356164383561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DF-4637-9519-C7F74674BCB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Лист1!$A$81:$H$86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доходи від операцій з капіталом</c:v>
                </c:pt>
              </c:strCache>
            </c:strRef>
          </c:cat>
          <c:val>
            <c:numRef>
              <c:f>Лист1!$I$81:$I$86</c:f>
              <c:numCache>
                <c:formatCode>General</c:formatCode>
                <c:ptCount val="6"/>
                <c:pt idx="0">
                  <c:v>104.8</c:v>
                </c:pt>
                <c:pt idx="1">
                  <c:v>8678.2999999999993</c:v>
                </c:pt>
                <c:pt idx="2">
                  <c:v>1394.4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CDF-4637-9519-C7F74674BCB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 prstMaterial="powder"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B124-FDA4-4CEE-BAA2-E26A1D16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Ігорівна</cp:lastModifiedBy>
  <cp:revision>61</cp:revision>
  <cp:lastPrinted>2023-07-19T13:06:00Z</cp:lastPrinted>
  <dcterms:created xsi:type="dcterms:W3CDTF">2021-09-23T07:52:00Z</dcterms:created>
  <dcterms:modified xsi:type="dcterms:W3CDTF">2023-07-19T13:06:00Z</dcterms:modified>
</cp:coreProperties>
</file>