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48" w:rsidRDefault="00F85879">
      <w:pPr>
        <w:spacing w:after="0" w:line="240" w:lineRule="auto"/>
        <w:jc w:val="center"/>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Аналіз регуляторного впливу</w:t>
      </w:r>
    </w:p>
    <w:p w:rsidR="009C4748" w:rsidRDefault="00F85879">
      <w:pPr>
        <w:spacing w:after="0" w:line="240" w:lineRule="auto"/>
        <w:ind w:right="98"/>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проекту рішення </w:t>
      </w:r>
      <w:proofErr w:type="spellStart"/>
      <w:r>
        <w:rPr>
          <w:rFonts w:ascii="Times New Roman" w:eastAsia="Times New Roman" w:hAnsi="Times New Roman" w:cs="Times New Roman"/>
          <w:b/>
          <w:sz w:val="28"/>
        </w:rPr>
        <w:t>Рогатинської</w:t>
      </w:r>
      <w:proofErr w:type="spellEnd"/>
      <w:r>
        <w:rPr>
          <w:rFonts w:ascii="Times New Roman" w:eastAsia="Times New Roman" w:hAnsi="Times New Roman" w:cs="Times New Roman"/>
          <w:b/>
          <w:sz w:val="28"/>
        </w:rPr>
        <w:t xml:space="preserve"> міської ради </w:t>
      </w:r>
    </w:p>
    <w:p w:rsidR="009C4748" w:rsidRDefault="00F8587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 встановлення ставки транспортного податку»</w:t>
      </w:r>
    </w:p>
    <w:p w:rsidR="009C4748" w:rsidRDefault="00F85879">
      <w:pPr>
        <w:keepNext/>
        <w:keepLines/>
        <w:spacing w:after="237" w:line="270" w:lineRule="auto"/>
        <w:ind w:right="8"/>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 Визначення проблеми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Відповідно до статті 10 Податкового кодексу України визначено перелік місцевих податків і зборів. Згідно зі статтею 12 Податкового кодексу України місцеві ради встановлюють місцеві податки і збори.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Закону України «Про місцеве самоврядування в Україні» повноваження щодо встановлення місцевих податків і зборів відносяться до виключної компетенції місцевої ради.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Враховуючи положення Податкового Кодексу України та Закону України «Про місцеве самоврядування в Україні», виникає необхідність встановлення </w:t>
      </w:r>
      <w:r>
        <w:rPr>
          <w:rFonts w:ascii="Times New Roman" w:eastAsia="Times New Roman" w:hAnsi="Times New Roman" w:cs="Times New Roman"/>
          <w:sz w:val="28"/>
        </w:rPr>
        <w:t xml:space="preserve">ставки транспортного податку </w:t>
      </w:r>
      <w:r>
        <w:rPr>
          <w:rFonts w:ascii="Times New Roman" w:eastAsia="Times New Roman" w:hAnsi="Times New Roman" w:cs="Times New Roman"/>
          <w:color w:val="000000"/>
          <w:sz w:val="28"/>
        </w:rPr>
        <w:t xml:space="preserve">на території </w:t>
      </w: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територіальної громади, які будуть діяти з 01.01.2022 року.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Враховуючи вимоги </w:t>
      </w:r>
      <w:r w:rsidR="00DE3A72">
        <w:rPr>
          <w:rFonts w:ascii="Times New Roman" w:eastAsia="Times New Roman" w:hAnsi="Times New Roman" w:cs="Times New Roman"/>
          <w:color w:val="000000"/>
          <w:sz w:val="28"/>
        </w:rPr>
        <w:t>н</w:t>
      </w:r>
      <w:r>
        <w:rPr>
          <w:rFonts w:ascii="Times New Roman" w:eastAsia="Times New Roman" w:hAnsi="Times New Roman" w:cs="Times New Roman"/>
          <w:color w:val="000000"/>
          <w:sz w:val="28"/>
        </w:rPr>
        <w:t>а 2022 рік</w:t>
      </w:r>
      <w:r w:rsidR="00DD15A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статті 12.3.4. Податкового кодексу рішення про встановлення місцевих податків та зборів офіційно оприлюднюється відповідним органом місцевого самоврядування до 25 липня</w:t>
      </w:r>
      <w:r w:rsidR="00DE3A7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року, що передує бюджетному періоду, в якому планується застосовування встановлюваних місцевих податків та зборів або змін (плановий період).  </w:t>
      </w:r>
    </w:p>
    <w:p w:rsidR="009C4748" w:rsidRDefault="00DD15AB">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Проблемою є те, що в разі не</w:t>
      </w:r>
      <w:r w:rsidR="00F85879">
        <w:rPr>
          <w:rFonts w:ascii="Times New Roman" w:eastAsia="Times New Roman" w:hAnsi="Times New Roman" w:cs="Times New Roman"/>
          <w:color w:val="000000"/>
          <w:sz w:val="28"/>
        </w:rPr>
        <w:t xml:space="preserve">встановлення міською радою місцевих податків, будуть застосовуватися мінімальні ставки податку, визначені в Податковому кодексі України, при цьому не будуть враховані інтереси громади по встановленню таких ставок.  Прийняття цього регуляторного акта дасть можливість здійснення контролю за додержанням правил розрахунку та сплати транспортного податку, поповнити місцевий бюджет, що надасть змогу  спрямувати отримані кошти від сплати податку на вирішення соціальних проблем територіальної громади та покращення інфраструктури сіл.  </w:t>
      </w:r>
    </w:p>
    <w:p w:rsidR="009C4748" w:rsidRDefault="00F85879">
      <w:pPr>
        <w:spacing w:after="0" w:line="259" w:lineRule="auto"/>
        <w:ind w:right="4"/>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Платниками транспортного податку відповідно до ст.267 Податкового кодексу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України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підпункту 267.2.1 пункту 267.2 цієї статті є об’єктами оподаткування.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Ставка податку встановлюється з розрахунку на календарний рік у розмірі 25 </w:t>
      </w:r>
      <w:proofErr w:type="spellStart"/>
      <w:r w:rsidR="00F61692">
        <w:rPr>
          <w:rFonts w:ascii="Times New Roman" w:eastAsia="Times New Roman" w:hAnsi="Times New Roman" w:cs="Times New Roman"/>
          <w:color w:val="000000"/>
          <w:sz w:val="28"/>
        </w:rPr>
        <w:t>тис.грн</w:t>
      </w:r>
      <w:proofErr w:type="spellEnd"/>
      <w:r>
        <w:rPr>
          <w:rFonts w:ascii="Times New Roman" w:eastAsia="Times New Roman" w:hAnsi="Times New Roman" w:cs="Times New Roman"/>
          <w:color w:val="000000"/>
          <w:sz w:val="28"/>
        </w:rPr>
        <w:t xml:space="preserve"> за кожен легковий автомобіль, що є об’єктом оподаткування відповідно до підпункту 267.2.1 пункту 267.2 цієї статті. </w:t>
      </w:r>
    </w:p>
    <w:p w:rsidR="009C4748" w:rsidRDefault="00F85879">
      <w:pPr>
        <w:spacing w:after="5" w:line="270" w:lineRule="auto"/>
        <w:ind w:left="-15" w:firstLine="56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Обчислення суми податку з об’єкта/об’єктів оподаткування фізичних осіб здійснюється контролюючим органом за місцем реєстрації платника податку. </w:t>
      </w:r>
    </w:p>
    <w:p w:rsidR="009C4748" w:rsidRDefault="00F85879">
      <w:pPr>
        <w:spacing w:after="5" w:line="270" w:lineRule="auto"/>
        <w:ind w:left="-5" w:hanging="10"/>
        <w:jc w:val="both"/>
        <w:rPr>
          <w:rFonts w:ascii="Times New Roman" w:eastAsia="Times New Roman" w:hAnsi="Times New Roman" w:cs="Times New Roman"/>
          <w:color w:val="FF0000"/>
          <w:sz w:val="28"/>
        </w:rPr>
      </w:pPr>
      <w:r>
        <w:rPr>
          <w:rFonts w:ascii="Times New Roman" w:eastAsia="Times New Roman" w:hAnsi="Times New Roman" w:cs="Times New Roman"/>
          <w:color w:val="000000"/>
          <w:sz w:val="28"/>
        </w:rPr>
        <w:t xml:space="preserve">         За даними фінансового відділу  виконавчого комітету </w:t>
      </w: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ради про виконання дохідної частини міського бюджету податок з транспортних засобів у 2020 році  надійшов </w:t>
      </w:r>
      <w:r w:rsidR="00DE3A72">
        <w:rPr>
          <w:rFonts w:ascii="Times New Roman" w:eastAsia="Times New Roman" w:hAnsi="Times New Roman" w:cs="Times New Roman"/>
          <w:color w:val="000000"/>
          <w:sz w:val="28"/>
        </w:rPr>
        <w:t xml:space="preserve">у сумі </w:t>
      </w:r>
      <w:r w:rsidR="00F61692">
        <w:rPr>
          <w:rFonts w:ascii="Times New Roman" w:eastAsia="Times New Roman" w:hAnsi="Times New Roman" w:cs="Times New Roman"/>
          <w:color w:val="000000"/>
          <w:sz w:val="28"/>
        </w:rPr>
        <w:t xml:space="preserve"> </w:t>
      </w:r>
      <w:r w:rsidR="00F61692" w:rsidRPr="00F61692">
        <w:rPr>
          <w:rFonts w:ascii="Times New Roman" w:eastAsia="Times New Roman" w:hAnsi="Times New Roman" w:cs="Times New Roman"/>
          <w:sz w:val="28"/>
        </w:rPr>
        <w:t xml:space="preserve">212,97 </w:t>
      </w:r>
      <w:r w:rsidRPr="00F61692">
        <w:rPr>
          <w:rFonts w:ascii="Times New Roman" w:eastAsia="Times New Roman" w:hAnsi="Times New Roman" w:cs="Times New Roman"/>
          <w:sz w:val="28"/>
        </w:rPr>
        <w:t xml:space="preserve"> </w:t>
      </w:r>
      <w:proofErr w:type="spellStart"/>
      <w:r w:rsidRPr="00F61692">
        <w:rPr>
          <w:rFonts w:ascii="Times New Roman" w:eastAsia="Times New Roman" w:hAnsi="Times New Roman" w:cs="Times New Roman"/>
          <w:sz w:val="28"/>
        </w:rPr>
        <w:t>тис.грн</w:t>
      </w:r>
      <w:proofErr w:type="spellEnd"/>
      <w:r w:rsidRPr="00F61692">
        <w:rPr>
          <w:rFonts w:ascii="Times New Roman" w:eastAsia="Times New Roman" w:hAnsi="Times New Roman" w:cs="Times New Roman"/>
          <w:sz w:val="28"/>
        </w:rPr>
        <w:t>.</w:t>
      </w:r>
      <w:r>
        <w:rPr>
          <w:rFonts w:ascii="Times New Roman" w:eastAsia="Times New Roman" w:hAnsi="Times New Roman" w:cs="Times New Roman"/>
          <w:color w:val="FF0000"/>
          <w:sz w:val="28"/>
        </w:rPr>
        <w:t xml:space="preserve">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Основні групи, на які зазначена проблема справляє вплив: </w:t>
      </w:r>
    </w:p>
    <w:p w:rsidR="009C4748" w:rsidRDefault="009C4748">
      <w:pPr>
        <w:spacing w:after="5" w:line="270" w:lineRule="auto"/>
        <w:ind w:left="-5" w:hanging="10"/>
        <w:jc w:val="both"/>
        <w:rPr>
          <w:rFonts w:ascii="Times New Roman" w:eastAsia="Times New Roman" w:hAnsi="Times New Roman" w:cs="Times New Roman"/>
          <w:color w:val="000000"/>
          <w:sz w:val="28"/>
        </w:rPr>
      </w:pPr>
    </w:p>
    <w:tbl>
      <w:tblPr>
        <w:tblW w:w="0" w:type="auto"/>
        <w:tblInd w:w="34" w:type="dxa"/>
        <w:tblCellMar>
          <w:left w:w="10" w:type="dxa"/>
          <w:right w:w="10" w:type="dxa"/>
        </w:tblCellMar>
        <w:tblLook w:val="0000" w:firstRow="0" w:lastRow="0" w:firstColumn="0" w:lastColumn="0" w:noHBand="0" w:noVBand="0"/>
      </w:tblPr>
      <w:tblGrid>
        <w:gridCol w:w="4168"/>
        <w:gridCol w:w="2699"/>
        <w:gridCol w:w="2425"/>
      </w:tblGrid>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43"/>
              <w:jc w:val="center"/>
              <w:rPr>
                <w:sz w:val="28"/>
              </w:rPr>
            </w:pPr>
            <w:r>
              <w:rPr>
                <w:rFonts w:ascii="Times New Roman" w:eastAsia="Times New Roman" w:hAnsi="Times New Roman" w:cs="Times New Roman"/>
                <w:color w:val="000000"/>
                <w:sz w:val="28"/>
              </w:rPr>
              <w:t xml:space="preserve">Групи (підгрупи)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3"/>
              <w:jc w:val="center"/>
              <w:rPr>
                <w:sz w:val="28"/>
              </w:rPr>
            </w:pPr>
            <w:r>
              <w:rPr>
                <w:rFonts w:ascii="Times New Roman" w:eastAsia="Times New Roman" w:hAnsi="Times New Roman" w:cs="Times New Roman"/>
                <w:color w:val="000000"/>
                <w:sz w:val="28"/>
              </w:rPr>
              <w:t xml:space="preserve">Так </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67"/>
              <w:jc w:val="center"/>
              <w:rPr>
                <w:sz w:val="28"/>
              </w:rPr>
            </w:pPr>
            <w:r>
              <w:rPr>
                <w:rFonts w:ascii="Times New Roman" w:eastAsia="Times New Roman" w:hAnsi="Times New Roman" w:cs="Times New Roman"/>
                <w:color w:val="000000"/>
                <w:sz w:val="28"/>
              </w:rPr>
              <w:t xml:space="preserve">Ні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Громадяни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3D2B33">
            <w:pPr>
              <w:spacing w:after="0" w:line="259" w:lineRule="auto"/>
              <w:ind w:left="48"/>
              <w:jc w:val="center"/>
              <w:rPr>
                <w:sz w:val="28"/>
              </w:rPr>
            </w:pPr>
            <w:r>
              <w:rPr>
                <w:rFonts w:ascii="Times New Roman" w:eastAsia="Times New Roman" w:hAnsi="Times New Roman" w:cs="Times New Roman"/>
                <w:color w:val="000000"/>
                <w:sz w:val="28"/>
              </w:rPr>
              <w:t>V</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Орган місцевого самоврядування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3D2B33">
            <w:pPr>
              <w:spacing w:after="0" w:line="259" w:lineRule="auto"/>
              <w:ind w:left="48"/>
              <w:jc w:val="center"/>
              <w:rPr>
                <w:sz w:val="28"/>
              </w:rPr>
            </w:pPr>
            <w:r>
              <w:rPr>
                <w:rFonts w:ascii="Times New Roman" w:eastAsia="Times New Roman" w:hAnsi="Times New Roman" w:cs="Times New Roman"/>
                <w:color w:val="000000"/>
                <w:sz w:val="28"/>
              </w:rPr>
              <w:t>V</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Суб'єкти господарювання,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48"/>
              <w:jc w:val="center"/>
              <w:rPr>
                <w:sz w:val="28"/>
              </w:rPr>
            </w:pPr>
            <w:r>
              <w:rPr>
                <w:rFonts w:ascii="Times New Roman" w:eastAsia="Times New Roman" w:hAnsi="Times New Roman" w:cs="Times New Roman"/>
                <w:color w:val="000000"/>
                <w:sz w:val="28"/>
              </w:rPr>
              <w:t xml:space="preserve">V </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r w:rsidR="009C4748">
        <w:tc>
          <w:tcPr>
            <w:tcW w:w="4168" w:type="dxa"/>
            <w:tcBorders>
              <w:top w:val="single" w:sz="6" w:space="0" w:color="A0A0A0"/>
              <w:left w:val="single" w:sz="6" w:space="0" w:color="F0F0F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rPr>
                <w:sz w:val="28"/>
              </w:rPr>
            </w:pPr>
            <w:r>
              <w:rPr>
                <w:rFonts w:ascii="Times New Roman" w:eastAsia="Times New Roman" w:hAnsi="Times New Roman" w:cs="Times New Roman"/>
                <w:color w:val="000000"/>
                <w:sz w:val="28"/>
              </w:rPr>
              <w:t xml:space="preserve">у тому числі суб'єкти малого підприємництва* </w:t>
            </w:r>
          </w:p>
        </w:tc>
        <w:tc>
          <w:tcPr>
            <w:tcW w:w="2699"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3B2ED2">
            <w:pPr>
              <w:spacing w:after="0" w:line="259" w:lineRule="auto"/>
              <w:ind w:left="48"/>
              <w:jc w:val="center"/>
              <w:rPr>
                <w:sz w:val="28"/>
              </w:rPr>
            </w:pPr>
            <w:r>
              <w:rPr>
                <w:rFonts w:ascii="Times New Roman" w:eastAsia="Times New Roman" w:hAnsi="Times New Roman" w:cs="Times New Roman"/>
                <w:color w:val="000000"/>
                <w:sz w:val="28"/>
              </w:rPr>
              <w:t>V</w:t>
            </w:r>
          </w:p>
        </w:tc>
        <w:tc>
          <w:tcPr>
            <w:tcW w:w="2425" w:type="dxa"/>
            <w:tcBorders>
              <w:top w:val="single" w:sz="6" w:space="0" w:color="A0A0A0"/>
              <w:left w:val="single" w:sz="6" w:space="0" w:color="A0A0A0"/>
              <w:bottom w:val="single" w:sz="6" w:space="0" w:color="A0A0A0"/>
              <w:right w:val="single" w:sz="6" w:space="0" w:color="A0A0A0"/>
            </w:tcBorders>
            <w:shd w:val="clear" w:color="000000" w:fill="FFFFFF"/>
            <w:tcMar>
              <w:left w:w="90" w:type="dxa"/>
              <w:right w:w="90" w:type="dxa"/>
            </w:tcMar>
          </w:tcPr>
          <w:p w:rsidR="009C4748" w:rsidRDefault="00F85879">
            <w:pPr>
              <w:spacing w:after="0" w:line="259" w:lineRule="auto"/>
              <w:ind w:left="5"/>
              <w:rPr>
                <w:sz w:val="28"/>
              </w:rPr>
            </w:pPr>
            <w:r>
              <w:rPr>
                <w:rFonts w:ascii="Times New Roman" w:eastAsia="Times New Roman" w:hAnsi="Times New Roman" w:cs="Times New Roman"/>
                <w:color w:val="000000"/>
                <w:sz w:val="28"/>
              </w:rPr>
              <w:t xml:space="preserve">  </w:t>
            </w:r>
          </w:p>
        </w:tc>
      </w:tr>
    </w:tbl>
    <w:p w:rsidR="009C4748" w:rsidRDefault="00F85879">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З метою безумовного виконання вимог Податкового кодексу України та недопущення суперечливих ситуацій, а також з метою вирішення проблеми щодо врегулювання питань справляння місцевих податків і зборів в межах </w:t>
      </w: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територіальної громади, і пропонується прийняття рішення місцевої ради </w:t>
      </w:r>
      <w:r>
        <w:rPr>
          <w:rFonts w:ascii="Times New Roman" w:eastAsia="Times New Roman" w:hAnsi="Times New Roman" w:cs="Times New Roman"/>
          <w:sz w:val="28"/>
        </w:rPr>
        <w:t>«Про встановлення ставки транспортного податку».</w:t>
      </w:r>
    </w:p>
    <w:p w:rsidR="009C4748" w:rsidRDefault="00F8587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Проблема, яку планується розв’язати шляхом прийняттям даного рішення, полягає у встановлені ставки транспортного податку, що в свою чергу, забезпечить збільшення надходжень до місцевого бюджету та надасть можливість виконати вимоги податкового законодавства.</w:t>
      </w:r>
      <w:r>
        <w:rPr>
          <w:rFonts w:ascii="Times New Roman" w:eastAsia="Times New Roman" w:hAnsi="Times New Roman" w:cs="Times New Roman"/>
          <w:color w:val="000000"/>
          <w:sz w:val="28"/>
        </w:rPr>
        <w:t xml:space="preserve">  </w:t>
      </w:r>
    </w:p>
    <w:p w:rsidR="009C4748" w:rsidRDefault="00F85879">
      <w:pPr>
        <w:spacing w:after="0"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keepNext/>
        <w:keepLines/>
        <w:spacing w:after="0" w:line="27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II. Цілі державного регулювання </w:t>
      </w:r>
    </w:p>
    <w:p w:rsidR="009C4748" w:rsidRDefault="00F85879">
      <w:pPr>
        <w:spacing w:after="0"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Проект рішення розроблено з ціллю: </w:t>
      </w:r>
    </w:p>
    <w:p w:rsidR="009C4748" w:rsidRDefault="00F85879">
      <w:pPr>
        <w:numPr>
          <w:ilvl w:val="0"/>
          <w:numId w:val="1"/>
        </w:numPr>
        <w:spacing w:after="5" w:line="270" w:lineRule="auto"/>
        <w:ind w:left="202" w:hanging="2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виконання вимог чинного законодавства;  </w:t>
      </w:r>
    </w:p>
    <w:p w:rsidR="009C4748" w:rsidRDefault="00F85879">
      <w:pPr>
        <w:numPr>
          <w:ilvl w:val="0"/>
          <w:numId w:val="1"/>
        </w:numPr>
        <w:spacing w:after="5" w:line="270" w:lineRule="auto"/>
        <w:ind w:left="202" w:hanging="2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врегулювання правовідносин між </w:t>
      </w:r>
      <w:proofErr w:type="spellStart"/>
      <w:r w:rsidR="00DE3A72">
        <w:rPr>
          <w:rFonts w:ascii="Times New Roman" w:eastAsia="Times New Roman" w:hAnsi="Times New Roman" w:cs="Times New Roman"/>
          <w:color w:val="000000"/>
          <w:sz w:val="28"/>
        </w:rPr>
        <w:t>Рогатинською</w:t>
      </w:r>
      <w:proofErr w:type="spellEnd"/>
      <w:r w:rsidR="00DE3A72">
        <w:rPr>
          <w:rFonts w:ascii="Times New Roman" w:eastAsia="Times New Roman" w:hAnsi="Times New Roman" w:cs="Times New Roman"/>
          <w:color w:val="000000"/>
          <w:sz w:val="28"/>
        </w:rPr>
        <w:t xml:space="preserve"> міською </w:t>
      </w:r>
      <w:r>
        <w:rPr>
          <w:rFonts w:ascii="Times New Roman" w:eastAsia="Times New Roman" w:hAnsi="Times New Roman" w:cs="Times New Roman"/>
          <w:color w:val="000000"/>
          <w:sz w:val="28"/>
        </w:rPr>
        <w:t xml:space="preserve"> радою та суб’єктами оподаткування в процесі нарахування та сплати транспортного податку. </w:t>
      </w:r>
    </w:p>
    <w:p w:rsidR="009C4748" w:rsidRDefault="00F85879">
      <w:pPr>
        <w:numPr>
          <w:ilvl w:val="0"/>
          <w:numId w:val="1"/>
        </w:numPr>
        <w:spacing w:after="5" w:line="270" w:lineRule="auto"/>
        <w:ind w:left="202" w:hanging="20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встановлення транспортного податку, що дозволить виконати вимоги податкового законодавства та забезпечити сталі надходження до сільського бюджету для виконання програм соціально – економічного розвитку громади.  </w:t>
      </w:r>
    </w:p>
    <w:p w:rsidR="009C4748" w:rsidRDefault="00F85879">
      <w:pPr>
        <w:spacing w:after="14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680" w:firstLine="912"/>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III. Визначення та оцінка альтернативних способів досягнення цілей </w:t>
      </w:r>
      <w:r>
        <w:rPr>
          <w:rFonts w:ascii="Times New Roman" w:eastAsia="Times New Roman" w:hAnsi="Times New Roman" w:cs="Times New Roman"/>
          <w:color w:val="000000"/>
          <w:sz w:val="28"/>
        </w:rPr>
        <w:t xml:space="preserve">1. Визначення альтернативних способів </w:t>
      </w:r>
    </w:p>
    <w:tbl>
      <w:tblPr>
        <w:tblW w:w="0" w:type="auto"/>
        <w:tblInd w:w="34" w:type="dxa"/>
        <w:tblCellMar>
          <w:left w:w="10" w:type="dxa"/>
          <w:right w:w="10" w:type="dxa"/>
        </w:tblCellMar>
        <w:tblLook w:val="0000" w:firstRow="0" w:lastRow="0" w:firstColumn="0" w:lastColumn="0" w:noHBand="0" w:noVBand="0"/>
      </w:tblPr>
      <w:tblGrid>
        <w:gridCol w:w="3414"/>
        <w:gridCol w:w="5878"/>
      </w:tblGrid>
      <w:tr w:rsidR="009C4748">
        <w:tc>
          <w:tcPr>
            <w:tcW w:w="3414"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4"/>
              <w:jc w:val="center"/>
              <w:rPr>
                <w:sz w:val="28"/>
              </w:rPr>
            </w:pPr>
            <w:r>
              <w:rPr>
                <w:rFonts w:ascii="Times New Roman" w:eastAsia="Times New Roman" w:hAnsi="Times New Roman" w:cs="Times New Roman"/>
                <w:color w:val="000000"/>
                <w:sz w:val="28"/>
              </w:rPr>
              <w:t xml:space="preserve">Вид альтернативи </w:t>
            </w:r>
          </w:p>
        </w:tc>
        <w:tc>
          <w:tcPr>
            <w:tcW w:w="5878"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59"/>
              <w:jc w:val="center"/>
              <w:rPr>
                <w:sz w:val="28"/>
              </w:rPr>
            </w:pPr>
            <w:r>
              <w:rPr>
                <w:rFonts w:ascii="Times New Roman" w:eastAsia="Times New Roman" w:hAnsi="Times New Roman" w:cs="Times New Roman"/>
                <w:color w:val="000000"/>
                <w:sz w:val="28"/>
              </w:rPr>
              <w:t xml:space="preserve">Опис альтернативи </w:t>
            </w:r>
          </w:p>
        </w:tc>
      </w:tr>
      <w:tr w:rsidR="009C4748">
        <w:tc>
          <w:tcPr>
            <w:tcW w:w="3414"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81"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w:t>
            </w:r>
          </w:p>
          <w:p w:rsidR="009C4748" w:rsidRDefault="00F85879">
            <w:pPr>
              <w:spacing w:after="14" w:line="259" w:lineRule="auto"/>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2"/>
              <w:jc w:val="cente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змін) </w:t>
            </w:r>
          </w:p>
        </w:tc>
        <w:tc>
          <w:tcPr>
            <w:tcW w:w="5878"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tabs>
                <w:tab w:val="center" w:pos="1140"/>
                <w:tab w:val="center" w:pos="2222"/>
                <w:tab w:val="center" w:pos="2965"/>
                <w:tab w:val="center" w:pos="3755"/>
                <w:tab w:val="center" w:pos="4429"/>
                <w:tab w:val="right" w:pos="5808"/>
              </w:tabs>
              <w:spacing w:after="32"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w:t>
            </w:r>
            <w:r>
              <w:rPr>
                <w:rFonts w:ascii="Times New Roman" w:eastAsia="Times New Roman" w:hAnsi="Times New Roman" w:cs="Times New Roman"/>
                <w:color w:val="000000"/>
                <w:sz w:val="28"/>
              </w:rPr>
              <w:tab/>
              <w:t xml:space="preserve">закінченню </w:t>
            </w:r>
            <w:r>
              <w:rPr>
                <w:rFonts w:ascii="Times New Roman" w:eastAsia="Times New Roman" w:hAnsi="Times New Roman" w:cs="Times New Roman"/>
                <w:color w:val="000000"/>
                <w:sz w:val="28"/>
              </w:rPr>
              <w:tab/>
              <w:t xml:space="preserve">2021 </w:t>
            </w:r>
            <w:r>
              <w:rPr>
                <w:rFonts w:ascii="Times New Roman" w:eastAsia="Times New Roman" w:hAnsi="Times New Roman" w:cs="Times New Roman"/>
                <w:color w:val="000000"/>
                <w:sz w:val="28"/>
              </w:rPr>
              <w:tab/>
              <w:t xml:space="preserve">року </w:t>
            </w:r>
            <w:r>
              <w:rPr>
                <w:rFonts w:ascii="Times New Roman" w:eastAsia="Times New Roman" w:hAnsi="Times New Roman" w:cs="Times New Roman"/>
                <w:color w:val="000000"/>
                <w:sz w:val="28"/>
              </w:rPr>
              <w:tab/>
              <w:t xml:space="preserve">діюче </w:t>
            </w:r>
            <w:r>
              <w:rPr>
                <w:rFonts w:ascii="Times New Roman" w:eastAsia="Times New Roman" w:hAnsi="Times New Roman" w:cs="Times New Roman"/>
                <w:color w:val="000000"/>
                <w:sz w:val="28"/>
              </w:rPr>
              <w:tab/>
              <w:t xml:space="preserve">на </w:t>
            </w:r>
            <w:r>
              <w:rPr>
                <w:rFonts w:ascii="Times New Roman" w:eastAsia="Times New Roman" w:hAnsi="Times New Roman" w:cs="Times New Roman"/>
                <w:color w:val="000000"/>
                <w:sz w:val="28"/>
              </w:rPr>
              <w:tab/>
              <w:t xml:space="preserve">території </w:t>
            </w:r>
          </w:p>
          <w:p w:rsidR="009C4748" w:rsidRDefault="00F85879">
            <w:pPr>
              <w:spacing w:after="29" w:line="258" w:lineRule="auto"/>
              <w:ind w:right="60"/>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Рогатинської</w:t>
            </w:r>
            <w:proofErr w:type="spellEnd"/>
            <w:r>
              <w:rPr>
                <w:rFonts w:ascii="Times New Roman" w:eastAsia="Times New Roman" w:hAnsi="Times New Roman" w:cs="Times New Roman"/>
                <w:color w:val="000000"/>
                <w:sz w:val="28"/>
              </w:rPr>
              <w:t xml:space="preserve"> міської ради рішення про встановлення транспортного податку має бути скасовано як таке, що не поширюється на подальші періоди.  </w:t>
            </w:r>
          </w:p>
          <w:p w:rsidR="009C4748" w:rsidRDefault="00F85879">
            <w:pPr>
              <w:spacing w:after="11" w:line="267" w:lineRule="auto"/>
              <w:ind w:right="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rsidR="009C4748" w:rsidRDefault="00F85879">
            <w:pPr>
              <w:spacing w:after="0" w:line="259" w:lineRule="auto"/>
              <w:ind w:right="63"/>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Обсяг надходжень до бюджету громади не зміниться, проте міська рада порушить вимоги </w:t>
            </w:r>
            <w:r>
              <w:rPr>
                <w:rFonts w:ascii="Times New Roman" w:eastAsia="Times New Roman" w:hAnsi="Times New Roman" w:cs="Times New Roman"/>
                <w:color w:val="000000"/>
                <w:sz w:val="28"/>
              </w:rPr>
              <w:lastRenderedPageBreak/>
              <w:t xml:space="preserve">Податкового кодексу України в частині обов’язкового встановлення транспортного податку. </w:t>
            </w:r>
          </w:p>
        </w:tc>
      </w:tr>
      <w:tr w:rsidR="009C4748">
        <w:tc>
          <w:tcPr>
            <w:tcW w:w="3414"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lastRenderedPageBreak/>
              <w:t>Альтернатива 2.</w:t>
            </w:r>
          </w:p>
          <w:p w:rsidR="009C4748" w:rsidRDefault="00F85879">
            <w:pPr>
              <w:spacing w:after="42"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0" w:line="259" w:lineRule="auto"/>
              <w:ind w:left="101"/>
              <w:rPr>
                <w:sz w:val="28"/>
              </w:rPr>
            </w:pPr>
            <w:r>
              <w:rPr>
                <w:rFonts w:ascii="Times New Roman" w:eastAsia="Times New Roman" w:hAnsi="Times New Roman" w:cs="Times New Roman"/>
                <w:color w:val="000000"/>
                <w:sz w:val="28"/>
              </w:rPr>
              <w:t xml:space="preserve">Податкового кодексу України  </w:t>
            </w:r>
          </w:p>
        </w:tc>
        <w:tc>
          <w:tcPr>
            <w:tcW w:w="5878"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25"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Дотримання вимог податкового законодавства. </w:t>
            </w:r>
          </w:p>
          <w:p w:rsidR="009C4748" w:rsidRDefault="00F85879">
            <w:pPr>
              <w:spacing w:after="0" w:line="281"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Забезпечення </w:t>
            </w:r>
            <w:r>
              <w:rPr>
                <w:rFonts w:ascii="Times New Roman" w:eastAsia="Times New Roman" w:hAnsi="Times New Roman" w:cs="Times New Roman"/>
                <w:color w:val="000000"/>
                <w:sz w:val="28"/>
              </w:rPr>
              <w:tab/>
              <w:t xml:space="preserve">досягнення </w:t>
            </w:r>
            <w:r>
              <w:rPr>
                <w:rFonts w:ascii="Times New Roman" w:eastAsia="Times New Roman" w:hAnsi="Times New Roman" w:cs="Times New Roman"/>
                <w:color w:val="000000"/>
                <w:sz w:val="28"/>
              </w:rPr>
              <w:tab/>
              <w:t xml:space="preserve">цілей </w:t>
            </w:r>
            <w:r>
              <w:rPr>
                <w:rFonts w:ascii="Times New Roman" w:eastAsia="Times New Roman" w:hAnsi="Times New Roman" w:cs="Times New Roman"/>
                <w:color w:val="000000"/>
                <w:sz w:val="28"/>
              </w:rPr>
              <w:tab/>
              <w:t xml:space="preserve">державного регулювання. </w:t>
            </w:r>
          </w:p>
          <w:p w:rsidR="009C4748" w:rsidRDefault="00F85879">
            <w:pPr>
              <w:spacing w:after="0" w:line="282"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Сталі надходження до бюджету без погіршення умов для розвитку мікробізнесу.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r>
    </w:tbl>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Оцінка вибраних альтернативних способів досягнення цілей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Опис вигод та витрат за кожною альтернативою для сфер інтересів держави, громадян та суб'єктів господарювання.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Оцінка впливу на сферу інтересів держави </w:t>
      </w:r>
    </w:p>
    <w:tbl>
      <w:tblPr>
        <w:tblW w:w="0" w:type="auto"/>
        <w:tblInd w:w="34" w:type="dxa"/>
        <w:tblCellMar>
          <w:left w:w="10" w:type="dxa"/>
          <w:right w:w="10" w:type="dxa"/>
        </w:tblCellMar>
        <w:tblLook w:val="0000" w:firstRow="0" w:lastRow="0" w:firstColumn="0" w:lastColumn="0" w:noHBand="0" w:noVBand="0"/>
      </w:tblPr>
      <w:tblGrid>
        <w:gridCol w:w="3155"/>
        <w:gridCol w:w="2905"/>
        <w:gridCol w:w="3232"/>
      </w:tblGrid>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Вид альтернативи </w:t>
            </w:r>
          </w:p>
        </w:tc>
        <w:tc>
          <w:tcPr>
            <w:tcW w:w="2905"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7"/>
              <w:jc w:val="center"/>
              <w:rPr>
                <w:sz w:val="28"/>
              </w:rPr>
            </w:pPr>
            <w:r>
              <w:rPr>
                <w:rFonts w:ascii="Times New Roman" w:eastAsia="Times New Roman" w:hAnsi="Times New Roman" w:cs="Times New Roman"/>
                <w:color w:val="000000"/>
                <w:sz w:val="28"/>
              </w:rPr>
              <w:t xml:space="preserve">Вигоди </w:t>
            </w:r>
          </w:p>
        </w:tc>
        <w:tc>
          <w:tcPr>
            <w:tcW w:w="3232"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Витрати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77"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77"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w:t>
            </w:r>
          </w:p>
          <w:p w:rsidR="009C4748" w:rsidRDefault="00F85879">
            <w:pPr>
              <w:spacing w:after="9" w:line="259" w:lineRule="auto"/>
              <w:ind w:right="6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0"/>
              <w:jc w:val="center"/>
              <w:rPr>
                <w:sz w:val="28"/>
              </w:rPr>
            </w:pPr>
            <w:r>
              <w:rPr>
                <w:rFonts w:ascii="Times New Roman" w:eastAsia="Times New Roman" w:hAnsi="Times New Roman" w:cs="Times New Roman"/>
                <w:color w:val="000000"/>
                <w:sz w:val="28"/>
              </w:rPr>
              <w:t xml:space="preserve">змін) </w:t>
            </w:r>
          </w:p>
        </w:tc>
        <w:tc>
          <w:tcPr>
            <w:tcW w:w="2905"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6"/>
              <w:jc w:val="center"/>
              <w:rPr>
                <w:sz w:val="28"/>
              </w:rPr>
            </w:pPr>
            <w:r>
              <w:rPr>
                <w:rFonts w:ascii="Times New Roman" w:eastAsia="Times New Roman" w:hAnsi="Times New Roman" w:cs="Times New Roman"/>
                <w:color w:val="000000"/>
                <w:sz w:val="28"/>
              </w:rPr>
              <w:t xml:space="preserve">Відсутні </w:t>
            </w:r>
          </w:p>
        </w:tc>
        <w:tc>
          <w:tcPr>
            <w:tcW w:w="3232"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1" w:lineRule="auto"/>
              <w:ind w:right="5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Обсяг надходжень до  бюджету не зміниться, проте міська рада порушить вимоги </w:t>
            </w:r>
          </w:p>
          <w:p w:rsidR="009C4748" w:rsidRDefault="00F85879">
            <w:pPr>
              <w:spacing w:after="0" w:line="259" w:lineRule="auto"/>
              <w:jc w:val="both"/>
              <w:rPr>
                <w:sz w:val="28"/>
              </w:rPr>
            </w:pPr>
            <w:r>
              <w:rPr>
                <w:rFonts w:ascii="Times New Roman" w:eastAsia="Times New Roman" w:hAnsi="Times New Roman" w:cs="Times New Roman"/>
                <w:color w:val="000000"/>
                <w:sz w:val="28"/>
              </w:rPr>
              <w:t xml:space="preserve">Податкового кодексу України в частині обов’язкового встановлення транспортного податку.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2.</w:t>
            </w:r>
          </w:p>
          <w:p w:rsidR="009C4748" w:rsidRDefault="00F85879">
            <w:pPr>
              <w:spacing w:after="0" w:line="28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22" w:line="259" w:lineRule="auto"/>
              <w:ind w:right="4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Податкового кодексу </w:t>
            </w:r>
          </w:p>
          <w:p w:rsidR="009C4748" w:rsidRDefault="00F85879">
            <w:pPr>
              <w:spacing w:after="0" w:line="259" w:lineRule="auto"/>
              <w:ind w:right="58"/>
              <w:jc w:val="center"/>
              <w:rPr>
                <w:sz w:val="28"/>
              </w:rPr>
            </w:pPr>
            <w:r>
              <w:rPr>
                <w:rFonts w:ascii="Times New Roman" w:eastAsia="Times New Roman" w:hAnsi="Times New Roman" w:cs="Times New Roman"/>
                <w:color w:val="000000"/>
                <w:sz w:val="28"/>
              </w:rPr>
              <w:t xml:space="preserve">України </w:t>
            </w:r>
          </w:p>
        </w:tc>
        <w:tc>
          <w:tcPr>
            <w:tcW w:w="2905"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tabs>
                <w:tab w:val="right" w:pos="2835"/>
              </w:tabs>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Дотримання </w:t>
            </w:r>
            <w:r>
              <w:rPr>
                <w:rFonts w:ascii="Times New Roman" w:eastAsia="Times New Roman" w:hAnsi="Times New Roman" w:cs="Times New Roman"/>
                <w:color w:val="000000"/>
                <w:sz w:val="28"/>
              </w:rPr>
              <w:tab/>
              <w:t xml:space="preserve">вимог </w:t>
            </w:r>
          </w:p>
          <w:p w:rsidR="009C4748" w:rsidRDefault="00F85879">
            <w:pPr>
              <w:spacing w:after="51" w:line="240" w:lineRule="auto"/>
              <w:ind w:left="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податкового законодавства. </w:t>
            </w:r>
          </w:p>
          <w:p w:rsidR="009C4748" w:rsidRDefault="00F85879">
            <w:pPr>
              <w:spacing w:after="0" w:line="274" w:lineRule="auto"/>
              <w:ind w:left="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Забезпечення досягнення цілей </w:t>
            </w:r>
            <w:r>
              <w:rPr>
                <w:rFonts w:ascii="Times New Roman" w:eastAsia="Times New Roman" w:hAnsi="Times New Roman" w:cs="Times New Roman"/>
                <w:color w:val="000000"/>
                <w:sz w:val="28"/>
              </w:rPr>
              <w:tab/>
              <w:t xml:space="preserve">державного регулювання. </w:t>
            </w:r>
          </w:p>
          <w:p w:rsidR="009C4748" w:rsidRDefault="00F85879">
            <w:pPr>
              <w:spacing w:after="0" w:line="266" w:lineRule="auto"/>
              <w:ind w:left="5" w:right="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Сталі надходження до  бюджету без погіршення умов для розвитку мікробізнесу. </w:t>
            </w:r>
          </w:p>
          <w:p w:rsidR="009C4748" w:rsidRDefault="00F85879">
            <w:pPr>
              <w:spacing w:after="0" w:line="259" w:lineRule="auto"/>
              <w:ind w:left="5"/>
              <w:rPr>
                <w:sz w:val="28"/>
              </w:rPr>
            </w:pPr>
            <w:r>
              <w:rPr>
                <w:rFonts w:ascii="Calibri" w:eastAsia="Calibri" w:hAnsi="Calibri" w:cs="Calibri"/>
                <w:color w:val="000000"/>
                <w:sz w:val="28"/>
              </w:rPr>
              <w:t xml:space="preserve"> </w:t>
            </w:r>
          </w:p>
        </w:tc>
        <w:tc>
          <w:tcPr>
            <w:tcW w:w="3232"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3"/>
              <w:jc w:val="center"/>
              <w:rPr>
                <w:sz w:val="28"/>
              </w:rPr>
            </w:pPr>
            <w:r>
              <w:rPr>
                <w:rFonts w:ascii="Times New Roman" w:eastAsia="Times New Roman" w:hAnsi="Times New Roman" w:cs="Times New Roman"/>
                <w:color w:val="000000"/>
                <w:sz w:val="28"/>
              </w:rPr>
              <w:t xml:space="preserve">Відсутні </w:t>
            </w:r>
          </w:p>
        </w:tc>
      </w:tr>
    </w:tbl>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Оцінка впливу на сферу інтересів громадян </w:t>
      </w:r>
    </w:p>
    <w:p w:rsidR="009C4748" w:rsidRDefault="009C4748">
      <w:pPr>
        <w:spacing w:after="5" w:line="270" w:lineRule="auto"/>
        <w:ind w:left="-5" w:hanging="10"/>
        <w:jc w:val="both"/>
        <w:rPr>
          <w:rFonts w:ascii="Times New Roman" w:eastAsia="Times New Roman" w:hAnsi="Times New Roman" w:cs="Times New Roman"/>
          <w:color w:val="000000"/>
          <w:sz w:val="28"/>
        </w:rPr>
      </w:pPr>
    </w:p>
    <w:tbl>
      <w:tblPr>
        <w:tblW w:w="0" w:type="auto"/>
        <w:tblInd w:w="34" w:type="dxa"/>
        <w:tblCellMar>
          <w:left w:w="10" w:type="dxa"/>
          <w:right w:w="10" w:type="dxa"/>
        </w:tblCellMar>
        <w:tblLook w:val="0000" w:firstRow="0" w:lastRow="0" w:firstColumn="0" w:lastColumn="0" w:noHBand="0" w:noVBand="0"/>
      </w:tblPr>
      <w:tblGrid>
        <w:gridCol w:w="3155"/>
        <w:gridCol w:w="3073"/>
        <w:gridCol w:w="3064"/>
      </w:tblGrid>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3"/>
              <w:jc w:val="center"/>
              <w:rPr>
                <w:sz w:val="28"/>
              </w:rPr>
            </w:pPr>
            <w:r>
              <w:rPr>
                <w:rFonts w:ascii="Times New Roman" w:eastAsia="Times New Roman" w:hAnsi="Times New Roman" w:cs="Times New Roman"/>
                <w:color w:val="000000"/>
                <w:sz w:val="28"/>
              </w:rPr>
              <w:t xml:space="preserve">Вид альтернативи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Вигоди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7"/>
              <w:jc w:val="center"/>
              <w:rPr>
                <w:sz w:val="28"/>
              </w:rPr>
            </w:pPr>
            <w:r>
              <w:rPr>
                <w:rFonts w:ascii="Times New Roman" w:eastAsia="Times New Roman" w:hAnsi="Times New Roman" w:cs="Times New Roman"/>
                <w:color w:val="000000"/>
                <w:sz w:val="28"/>
              </w:rPr>
              <w:t xml:space="preserve">Витрати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81"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w:t>
            </w:r>
            <w:r>
              <w:rPr>
                <w:rFonts w:ascii="Times New Roman" w:eastAsia="Times New Roman" w:hAnsi="Times New Roman" w:cs="Times New Roman"/>
                <w:color w:val="000000"/>
                <w:sz w:val="28"/>
              </w:rPr>
              <w:lastRenderedPageBreak/>
              <w:t xml:space="preserve">регуляторного акта (залишення існуючої на </w:t>
            </w:r>
          </w:p>
          <w:p w:rsidR="009C4748" w:rsidRDefault="00F85879">
            <w:pPr>
              <w:spacing w:after="14" w:line="259" w:lineRule="auto"/>
              <w:ind w:right="6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змін)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lastRenderedPageBreak/>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250" w:line="261"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Фізичні особи – платники податку у 2022 році будуть </w:t>
            </w:r>
            <w:r>
              <w:rPr>
                <w:rFonts w:ascii="Times New Roman" w:eastAsia="Times New Roman" w:hAnsi="Times New Roman" w:cs="Times New Roman"/>
                <w:color w:val="000000"/>
                <w:sz w:val="28"/>
              </w:rPr>
              <w:lastRenderedPageBreak/>
              <w:t xml:space="preserve">сплачувати податок за незмінною ставкою 25 000 грн. за один об’єкт оподаткування. </w:t>
            </w:r>
          </w:p>
          <w:p w:rsidR="009C4748" w:rsidRDefault="00F85879">
            <w:pPr>
              <w:spacing w:after="0" w:line="259" w:lineRule="auto"/>
              <w:ind w:right="5"/>
              <w:jc w:val="center"/>
              <w:rPr>
                <w:sz w:val="28"/>
              </w:rPr>
            </w:pPr>
            <w:r>
              <w:rPr>
                <w:rFonts w:ascii="Times New Roman" w:eastAsia="Times New Roman" w:hAnsi="Times New Roman" w:cs="Times New Roman"/>
                <w:color w:val="000000"/>
                <w:sz w:val="28"/>
              </w:rPr>
              <w:t xml:space="preserve">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Альтернатива 2.</w:t>
            </w:r>
          </w:p>
          <w:p w:rsidR="009C4748" w:rsidRDefault="00F85879">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18" w:line="259" w:lineRule="auto"/>
              <w:ind w:right="5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Податкового кодексу </w:t>
            </w:r>
          </w:p>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України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60"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Фізичні особи – платники податку у 2022 році будуть сплачувати податок за незмінною ставкою 25 000 грн. за один об’єкт оподаткування. </w:t>
            </w:r>
          </w:p>
          <w:p w:rsidR="009C4748" w:rsidRDefault="00F85879">
            <w:pPr>
              <w:spacing w:after="0" w:line="259" w:lineRule="auto"/>
              <w:ind w:right="5"/>
              <w:jc w:val="center"/>
              <w:rPr>
                <w:sz w:val="28"/>
              </w:rPr>
            </w:pPr>
            <w:r>
              <w:rPr>
                <w:rFonts w:ascii="Times New Roman" w:eastAsia="Times New Roman" w:hAnsi="Times New Roman" w:cs="Times New Roman"/>
                <w:color w:val="000000"/>
                <w:sz w:val="28"/>
              </w:rPr>
              <w:t xml:space="preserve"> </w:t>
            </w:r>
          </w:p>
        </w:tc>
      </w:tr>
    </w:tbl>
    <w:p w:rsidR="009C4748" w:rsidRDefault="00F8587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Оцінка впливу на сферу інтересів суб’єктів господарювання  </w:t>
      </w:r>
    </w:p>
    <w:tbl>
      <w:tblPr>
        <w:tblW w:w="0" w:type="auto"/>
        <w:tblInd w:w="34" w:type="dxa"/>
        <w:tblCellMar>
          <w:left w:w="10" w:type="dxa"/>
          <w:right w:w="10" w:type="dxa"/>
        </w:tblCellMar>
        <w:tblLook w:val="0000" w:firstRow="0" w:lastRow="0" w:firstColumn="0" w:lastColumn="0" w:noHBand="0" w:noVBand="0"/>
      </w:tblPr>
      <w:tblGrid>
        <w:gridCol w:w="3155"/>
        <w:gridCol w:w="3073"/>
        <w:gridCol w:w="3064"/>
      </w:tblGrid>
      <w:tr w:rsidR="009C4748">
        <w:tc>
          <w:tcPr>
            <w:tcW w:w="9292" w:type="dxa"/>
            <w:gridSpan w:val="3"/>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tabs>
                <w:tab w:val="center" w:pos="1511"/>
                <w:tab w:val="center" w:pos="3087"/>
                <w:tab w:val="center" w:pos="4625"/>
                <w:tab w:val="center" w:pos="6161"/>
                <w:tab w:val="center" w:pos="7691"/>
              </w:tabs>
              <w:spacing w:after="0" w:line="259" w:lineRule="auto"/>
              <w:rPr>
                <w:sz w:val="28"/>
              </w:rPr>
            </w:pPr>
            <w:r>
              <w:rPr>
                <w:rFonts w:ascii="Calibri" w:eastAsia="Calibri" w:hAnsi="Calibri" w:cs="Calibri"/>
                <w:color w:val="000000"/>
                <w:sz w:val="28"/>
              </w:rPr>
              <w:tab/>
            </w:r>
            <w:r>
              <w:rPr>
                <w:rFonts w:ascii="Times New Roman" w:eastAsia="Times New Roman" w:hAnsi="Times New Roman" w:cs="Times New Roman"/>
                <w:color w:val="000000"/>
                <w:sz w:val="28"/>
              </w:rPr>
              <w:t xml:space="preserve">Вид альтернативи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t xml:space="preserve">Вигоди </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t xml:space="preserve">Витрати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w:t>
            </w:r>
          </w:p>
          <w:p w:rsidR="009C4748" w:rsidRDefault="00F85879">
            <w:pPr>
              <w:spacing w:after="9" w:line="259" w:lineRule="auto"/>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ситуації без </w:t>
            </w:r>
          </w:p>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змін)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3F7070">
            <w:pPr>
              <w:spacing w:after="259" w:line="261"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Суб'єкти ,</w:t>
            </w:r>
            <w:r w:rsidR="00F85879">
              <w:rPr>
                <w:rFonts w:ascii="Times New Roman" w:eastAsia="Times New Roman" w:hAnsi="Times New Roman" w:cs="Times New Roman"/>
                <w:color w:val="000000"/>
                <w:sz w:val="28"/>
              </w:rPr>
              <w:t xml:space="preserve">господарювання – платники податку у 2022 році будуть сплачувати податок за незмінною ставкою 25 000 грн. за один об’єкт оподаткування. </w:t>
            </w:r>
          </w:p>
          <w:p w:rsidR="009C4748" w:rsidRDefault="00F85879">
            <w:pPr>
              <w:spacing w:after="252" w:line="259" w:lineRule="auto"/>
              <w:ind w:right="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2.</w:t>
            </w:r>
          </w:p>
          <w:p w:rsidR="009C4748" w:rsidRDefault="00F85879">
            <w:pPr>
              <w:spacing w:after="0" w:line="28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0" w:line="259" w:lineRule="auto"/>
              <w:ind w:left="6" w:right="8"/>
              <w:jc w:val="center"/>
              <w:rPr>
                <w:sz w:val="28"/>
              </w:rPr>
            </w:pPr>
            <w:r>
              <w:rPr>
                <w:rFonts w:ascii="Times New Roman" w:eastAsia="Times New Roman" w:hAnsi="Times New Roman" w:cs="Times New Roman"/>
                <w:color w:val="000000"/>
                <w:sz w:val="28"/>
              </w:rPr>
              <w:t xml:space="preserve">Податкового кодексу України  </w:t>
            </w: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62"/>
              <w:jc w:val="center"/>
              <w:rPr>
                <w:sz w:val="28"/>
              </w:rPr>
            </w:pPr>
            <w:r>
              <w:rPr>
                <w:rFonts w:ascii="Times New Roman" w:eastAsia="Times New Roman" w:hAnsi="Times New Roman" w:cs="Times New Roman"/>
                <w:color w:val="000000"/>
                <w:sz w:val="28"/>
              </w:rPr>
              <w:t xml:space="preserve">Відсутні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55"/>
              <w:jc w:val="both"/>
              <w:rPr>
                <w:sz w:val="28"/>
              </w:rPr>
            </w:pPr>
            <w:r>
              <w:rPr>
                <w:rFonts w:ascii="Times New Roman" w:eastAsia="Times New Roman" w:hAnsi="Times New Roman" w:cs="Times New Roman"/>
                <w:color w:val="000000"/>
                <w:sz w:val="28"/>
              </w:rPr>
              <w:t xml:space="preserve">Суб'єкти господарювання – платники податку у 2022 році будуть сплачувати податок за незмінною ставкою 25 000 грн. за один об’єкт оподаткування. </w:t>
            </w:r>
          </w:p>
        </w:tc>
      </w:tr>
      <w:tr w:rsidR="009C4748">
        <w:tc>
          <w:tcPr>
            <w:tcW w:w="3155"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9C4748">
            <w:pPr>
              <w:spacing w:after="160" w:line="259" w:lineRule="auto"/>
              <w:rPr>
                <w:rFonts w:ascii="Calibri" w:eastAsia="Calibri" w:hAnsi="Calibri" w:cs="Calibri"/>
                <w:sz w:val="28"/>
              </w:rPr>
            </w:pPr>
          </w:p>
        </w:tc>
        <w:tc>
          <w:tcPr>
            <w:tcW w:w="30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9C4748">
            <w:pPr>
              <w:spacing w:after="160" w:line="259" w:lineRule="auto"/>
              <w:rPr>
                <w:rFonts w:ascii="Calibri" w:eastAsia="Calibri" w:hAnsi="Calibri" w:cs="Calibri"/>
                <w:sz w:val="28"/>
              </w:rPr>
            </w:pP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9C4748">
            <w:pPr>
              <w:spacing w:after="0" w:line="259" w:lineRule="auto"/>
              <w:jc w:val="both"/>
              <w:rPr>
                <w:rFonts w:ascii="Calibri" w:eastAsia="Calibri" w:hAnsi="Calibri" w:cs="Calibri"/>
                <w:sz w:val="28"/>
              </w:rPr>
            </w:pPr>
          </w:p>
        </w:tc>
      </w:tr>
    </w:tbl>
    <w:p w:rsidR="009C4748" w:rsidRDefault="00F85879">
      <w:pPr>
        <w:spacing w:after="154"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448"/>
        <w:jc w:val="right"/>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IV. Вибір найбільш оптимального альтернативного способу досягнення цілей </w:t>
      </w:r>
    </w:p>
    <w:tbl>
      <w:tblPr>
        <w:tblW w:w="0" w:type="auto"/>
        <w:tblInd w:w="34" w:type="dxa"/>
        <w:tblCellMar>
          <w:left w:w="10" w:type="dxa"/>
          <w:right w:w="10" w:type="dxa"/>
        </w:tblCellMar>
        <w:tblLook w:val="0000" w:firstRow="0" w:lastRow="0" w:firstColumn="0" w:lastColumn="0" w:noHBand="0" w:noVBand="0"/>
      </w:tblPr>
      <w:tblGrid>
        <w:gridCol w:w="3525"/>
        <w:gridCol w:w="2888"/>
        <w:gridCol w:w="2973"/>
      </w:tblGrid>
      <w:tr w:rsidR="009C4748">
        <w:tc>
          <w:tcPr>
            <w:tcW w:w="352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5"/>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Рейтинг результативності </w:t>
            </w:r>
          </w:p>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(досягнення цілей під час вирішення проблеми) </w:t>
            </w:r>
          </w:p>
        </w:tc>
        <w:tc>
          <w:tcPr>
            <w:tcW w:w="2888"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48" w:line="240" w:lineRule="auto"/>
              <w:ind w:left="36" w:firstLine="7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Бал результативності (за чотирибальною системою </w:t>
            </w:r>
          </w:p>
          <w:p w:rsidR="009C4748" w:rsidRDefault="00F85879">
            <w:pPr>
              <w:spacing w:after="0" w:line="259" w:lineRule="auto"/>
              <w:ind w:right="70"/>
              <w:jc w:val="center"/>
              <w:rPr>
                <w:sz w:val="28"/>
              </w:rPr>
            </w:pPr>
            <w:r>
              <w:rPr>
                <w:rFonts w:ascii="Times New Roman" w:eastAsia="Times New Roman" w:hAnsi="Times New Roman" w:cs="Times New Roman"/>
                <w:color w:val="000000"/>
                <w:sz w:val="28"/>
              </w:rPr>
              <w:t xml:space="preserve">оцінки) </w:t>
            </w:r>
          </w:p>
        </w:tc>
        <w:tc>
          <w:tcPr>
            <w:tcW w:w="2973"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46"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Коментарі щодо присвоєння відповідного </w:t>
            </w:r>
          </w:p>
          <w:p w:rsidR="009C4748" w:rsidRDefault="00F85879">
            <w:pPr>
              <w:spacing w:after="0" w:line="259" w:lineRule="auto"/>
              <w:ind w:right="69"/>
              <w:jc w:val="center"/>
              <w:rPr>
                <w:sz w:val="28"/>
              </w:rPr>
            </w:pPr>
            <w:r>
              <w:rPr>
                <w:rFonts w:ascii="Times New Roman" w:eastAsia="Times New Roman" w:hAnsi="Times New Roman" w:cs="Times New Roman"/>
                <w:color w:val="000000"/>
                <w:sz w:val="28"/>
              </w:rPr>
              <w:t xml:space="preserve">бала </w:t>
            </w:r>
          </w:p>
        </w:tc>
      </w:tr>
      <w:tr w:rsidR="009C4748">
        <w:tc>
          <w:tcPr>
            <w:tcW w:w="352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1.</w:t>
            </w:r>
          </w:p>
          <w:p w:rsidR="009C4748" w:rsidRDefault="00F85879">
            <w:pPr>
              <w:spacing w:after="0" w:line="259" w:lineRule="auto"/>
              <w:ind w:left="2" w:right="10"/>
              <w:jc w:val="center"/>
              <w:rPr>
                <w:sz w:val="28"/>
              </w:rPr>
            </w:pPr>
            <w:r>
              <w:rPr>
                <w:rFonts w:ascii="Times New Roman" w:eastAsia="Times New Roman" w:hAnsi="Times New Roman" w:cs="Times New Roman"/>
                <w:color w:val="000000"/>
                <w:sz w:val="28"/>
              </w:rPr>
              <w:t xml:space="preserve">Не прийняття регуляторного акта (залишення існуючої на даний момент ситуації без змін) </w:t>
            </w:r>
          </w:p>
        </w:tc>
        <w:tc>
          <w:tcPr>
            <w:tcW w:w="2888"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7"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72"/>
              <w:jc w:val="center"/>
              <w:rPr>
                <w:sz w:val="28"/>
              </w:rPr>
            </w:pPr>
            <w:r>
              <w:rPr>
                <w:rFonts w:ascii="Times New Roman" w:eastAsia="Times New Roman" w:hAnsi="Times New Roman" w:cs="Times New Roman"/>
                <w:color w:val="000000"/>
                <w:sz w:val="28"/>
              </w:rPr>
              <w:t xml:space="preserve">1 </w:t>
            </w:r>
          </w:p>
        </w:tc>
        <w:tc>
          <w:tcPr>
            <w:tcW w:w="2973"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62" w:lineRule="auto"/>
              <w:ind w:right="5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rsidR="009C4748" w:rsidRDefault="00F85879">
            <w:pPr>
              <w:spacing w:after="0" w:line="254" w:lineRule="auto"/>
              <w:ind w:right="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Обсяг надходжень до бюджету не зміниться, проте міська рада порушить вимоги Податкового кодексу України в частині </w:t>
            </w:r>
          </w:p>
          <w:p w:rsidR="009C4748" w:rsidRDefault="00F85879">
            <w:pPr>
              <w:spacing w:after="0" w:line="259" w:lineRule="auto"/>
              <w:ind w:right="4"/>
              <w:rPr>
                <w:sz w:val="28"/>
              </w:rPr>
            </w:pPr>
            <w:r>
              <w:rPr>
                <w:rFonts w:ascii="Times New Roman" w:eastAsia="Times New Roman" w:hAnsi="Times New Roman" w:cs="Times New Roman"/>
                <w:color w:val="000000"/>
                <w:sz w:val="28"/>
              </w:rPr>
              <w:t xml:space="preserve">обов’язкового встановлення транспортного податку </w:t>
            </w:r>
          </w:p>
        </w:tc>
      </w:tr>
      <w:tr w:rsidR="009C4748">
        <w:tc>
          <w:tcPr>
            <w:tcW w:w="3525"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0" w:line="28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Альтернатива 2.</w:t>
            </w:r>
          </w:p>
          <w:p w:rsidR="009C4748" w:rsidRDefault="00F85879">
            <w:pPr>
              <w:spacing w:after="0" w:line="279"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відповідно до вимог </w:t>
            </w:r>
          </w:p>
          <w:p w:rsidR="009C4748" w:rsidRDefault="00F85879">
            <w:pPr>
              <w:spacing w:after="0" w:line="259" w:lineRule="auto"/>
              <w:ind w:right="225"/>
              <w:jc w:val="right"/>
              <w:rPr>
                <w:sz w:val="28"/>
              </w:rPr>
            </w:pPr>
            <w:r>
              <w:rPr>
                <w:rFonts w:ascii="Times New Roman" w:eastAsia="Times New Roman" w:hAnsi="Times New Roman" w:cs="Times New Roman"/>
                <w:color w:val="000000"/>
                <w:sz w:val="28"/>
              </w:rPr>
              <w:t xml:space="preserve">Податкового кодексу України  </w:t>
            </w:r>
          </w:p>
        </w:tc>
        <w:tc>
          <w:tcPr>
            <w:tcW w:w="2888"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256"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7" w:line="259" w:lineRule="auto"/>
              <w:ind w:right="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72"/>
              <w:jc w:val="center"/>
              <w:rPr>
                <w:sz w:val="28"/>
              </w:rPr>
            </w:pPr>
            <w:r>
              <w:rPr>
                <w:rFonts w:ascii="Times New Roman" w:eastAsia="Times New Roman" w:hAnsi="Times New Roman" w:cs="Times New Roman"/>
                <w:color w:val="000000"/>
                <w:sz w:val="28"/>
              </w:rPr>
              <w:t xml:space="preserve">4 </w:t>
            </w:r>
          </w:p>
        </w:tc>
        <w:tc>
          <w:tcPr>
            <w:tcW w:w="2973"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57"/>
              <w:jc w:val="both"/>
              <w:rPr>
                <w:sz w:val="28"/>
              </w:rPr>
            </w:pPr>
            <w:r>
              <w:rPr>
                <w:rFonts w:ascii="Times New Roman" w:eastAsia="Times New Roman" w:hAnsi="Times New Roman" w:cs="Times New Roman"/>
                <w:color w:val="000000"/>
                <w:sz w:val="28"/>
              </w:rPr>
              <w:t xml:space="preserve">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 </w:t>
            </w:r>
          </w:p>
        </w:tc>
      </w:tr>
    </w:tbl>
    <w:p w:rsidR="009C4748" w:rsidRDefault="00F85879">
      <w:pPr>
        <w:spacing w:after="0"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tbl>
      <w:tblPr>
        <w:tblW w:w="0" w:type="auto"/>
        <w:tblInd w:w="34" w:type="dxa"/>
        <w:tblCellMar>
          <w:left w:w="10" w:type="dxa"/>
          <w:right w:w="10" w:type="dxa"/>
        </w:tblCellMar>
        <w:tblLook w:val="0000" w:firstRow="0" w:lastRow="0" w:firstColumn="0" w:lastColumn="0" w:noHBand="0" w:noVBand="0"/>
      </w:tblPr>
      <w:tblGrid>
        <w:gridCol w:w="2116"/>
        <w:gridCol w:w="2634"/>
        <w:gridCol w:w="2070"/>
        <w:gridCol w:w="2853"/>
      </w:tblGrid>
      <w:tr w:rsidR="009C4748">
        <w:tc>
          <w:tcPr>
            <w:tcW w:w="1887"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Рейтинг результативності </w:t>
            </w:r>
          </w:p>
        </w:tc>
        <w:tc>
          <w:tcPr>
            <w:tcW w:w="26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Вигоди (підсумок) </w:t>
            </w:r>
          </w:p>
        </w:tc>
        <w:tc>
          <w:tcPr>
            <w:tcW w:w="1822"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Витрати (підсумок) </w:t>
            </w:r>
          </w:p>
        </w:tc>
        <w:tc>
          <w:tcPr>
            <w:tcW w:w="2910"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Обґрунтування відповідного місця альтернативи у рейтингу </w:t>
            </w:r>
          </w:p>
        </w:tc>
      </w:tr>
      <w:tr w:rsidR="009C4748">
        <w:tc>
          <w:tcPr>
            <w:tcW w:w="1887"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w:t>
            </w:r>
          </w:p>
          <w:p w:rsidR="009C4748" w:rsidRDefault="00F85879">
            <w:pPr>
              <w:spacing w:after="0"/>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акта відповідно </w:t>
            </w:r>
            <w:r>
              <w:rPr>
                <w:rFonts w:ascii="Times New Roman" w:eastAsia="Times New Roman" w:hAnsi="Times New Roman" w:cs="Times New Roman"/>
                <w:color w:val="000000"/>
                <w:sz w:val="28"/>
              </w:rPr>
              <w:lastRenderedPageBreak/>
              <w:t xml:space="preserve">до вимог </w:t>
            </w:r>
          </w:p>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Податкового кодексу України </w:t>
            </w:r>
          </w:p>
        </w:tc>
        <w:tc>
          <w:tcPr>
            <w:tcW w:w="26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Дотримання </w:t>
            </w:r>
          </w:p>
          <w:p w:rsidR="009C4748" w:rsidRDefault="00F61692" w:rsidP="00F61692">
            <w:pPr>
              <w:spacing w:after="0"/>
              <w:ind w:right="65"/>
              <w:jc w:val="both"/>
              <w:rPr>
                <w:rFonts w:ascii="Times New Roman" w:eastAsia="Times New Roman" w:hAnsi="Times New Roman" w:cs="Times New Roman"/>
                <w:color w:val="000000"/>
                <w:sz w:val="28"/>
              </w:rPr>
            </w:pPr>
            <w:proofErr w:type="spellStart"/>
            <w:r>
              <w:rPr>
                <w:rFonts w:ascii="Times New Roman" w:eastAsia="Times New Roman" w:hAnsi="Times New Roman" w:cs="Times New Roman"/>
                <w:color w:val="000000"/>
                <w:sz w:val="28"/>
              </w:rPr>
              <w:t>Рогатинською</w:t>
            </w:r>
            <w:proofErr w:type="spellEnd"/>
            <w:r>
              <w:rPr>
                <w:rFonts w:ascii="Times New Roman" w:eastAsia="Times New Roman" w:hAnsi="Times New Roman" w:cs="Times New Roman"/>
                <w:color w:val="000000"/>
                <w:sz w:val="28"/>
              </w:rPr>
              <w:t xml:space="preserve"> міською</w:t>
            </w:r>
            <w:r w:rsidR="00F85879">
              <w:rPr>
                <w:rFonts w:ascii="Times New Roman" w:eastAsia="Times New Roman" w:hAnsi="Times New Roman" w:cs="Times New Roman"/>
                <w:color w:val="000000"/>
                <w:sz w:val="28"/>
              </w:rPr>
              <w:t xml:space="preserve"> радою </w:t>
            </w:r>
            <w:r w:rsidR="00F85879">
              <w:rPr>
                <w:rFonts w:ascii="Times New Roman" w:eastAsia="Times New Roman" w:hAnsi="Times New Roman" w:cs="Times New Roman"/>
                <w:color w:val="000000"/>
                <w:sz w:val="28"/>
              </w:rPr>
              <w:lastRenderedPageBreak/>
              <w:t xml:space="preserve">вимог податкового законодавства.  </w:t>
            </w:r>
          </w:p>
          <w:p w:rsidR="009C4748" w:rsidRDefault="00F85879" w:rsidP="00F61692">
            <w:pPr>
              <w:spacing w:after="0" w:line="259" w:lineRule="auto"/>
              <w:jc w:val="both"/>
              <w:rPr>
                <w:sz w:val="28"/>
              </w:rPr>
            </w:pPr>
            <w:r>
              <w:rPr>
                <w:rFonts w:ascii="Times New Roman" w:eastAsia="Times New Roman" w:hAnsi="Times New Roman" w:cs="Times New Roman"/>
                <w:color w:val="000000"/>
                <w:sz w:val="28"/>
              </w:rPr>
              <w:t xml:space="preserve">Платники податку у 2022 </w:t>
            </w:r>
            <w:r w:rsidR="00F61692">
              <w:rPr>
                <w:rFonts w:ascii="Times New Roman" w:eastAsia="Times New Roman" w:hAnsi="Times New Roman" w:cs="Times New Roman"/>
                <w:color w:val="000000"/>
                <w:sz w:val="28"/>
              </w:rPr>
              <w:t xml:space="preserve">році будуть сплачувати податок </w:t>
            </w:r>
            <w:r>
              <w:rPr>
                <w:rFonts w:ascii="Times New Roman" w:eastAsia="Times New Roman" w:hAnsi="Times New Roman" w:cs="Times New Roman"/>
                <w:color w:val="000000"/>
                <w:sz w:val="28"/>
              </w:rPr>
              <w:t xml:space="preserve">за </w:t>
            </w:r>
            <w:r>
              <w:rPr>
                <w:rFonts w:ascii="Times New Roman" w:eastAsia="Times New Roman" w:hAnsi="Times New Roman" w:cs="Times New Roman"/>
                <w:color w:val="000000"/>
                <w:sz w:val="28"/>
              </w:rPr>
              <w:tab/>
              <w:t xml:space="preserve">незмінною ставкою 25 000 грн. за один </w:t>
            </w:r>
            <w:r>
              <w:rPr>
                <w:rFonts w:ascii="Times New Roman" w:eastAsia="Times New Roman" w:hAnsi="Times New Roman" w:cs="Times New Roman"/>
                <w:color w:val="000000"/>
                <w:sz w:val="28"/>
              </w:rPr>
              <w:tab/>
              <w:t xml:space="preserve">об’єкт оподаткування. </w:t>
            </w:r>
          </w:p>
        </w:tc>
        <w:tc>
          <w:tcPr>
            <w:tcW w:w="1822"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44" w:line="240" w:lineRule="auto"/>
              <w:ind w:left="2" w:right="6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Витрати суб’єктів оподаткування </w:t>
            </w:r>
            <w:r>
              <w:rPr>
                <w:rFonts w:ascii="Times New Roman" w:eastAsia="Times New Roman" w:hAnsi="Times New Roman" w:cs="Times New Roman"/>
                <w:color w:val="000000"/>
                <w:sz w:val="28"/>
              </w:rPr>
              <w:lastRenderedPageBreak/>
              <w:t>на сплату транспортно-</w:t>
            </w:r>
          </w:p>
          <w:p w:rsidR="009C4748" w:rsidRDefault="00F85879">
            <w:pPr>
              <w:spacing w:after="44" w:line="240" w:lineRule="auto"/>
              <w:ind w:left="2" w:right="63"/>
              <w:jc w:val="both"/>
              <w:rPr>
                <w:sz w:val="28"/>
              </w:rPr>
            </w:pPr>
            <w:r>
              <w:rPr>
                <w:rFonts w:ascii="Times New Roman" w:eastAsia="Times New Roman" w:hAnsi="Times New Roman" w:cs="Times New Roman"/>
                <w:color w:val="000000"/>
                <w:sz w:val="28"/>
              </w:rPr>
              <w:t xml:space="preserve">го податку та обсяг надходжень до  бюджету не зміняться. </w:t>
            </w:r>
          </w:p>
        </w:tc>
        <w:tc>
          <w:tcPr>
            <w:tcW w:w="2910"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right="58"/>
              <w:jc w:val="both"/>
              <w:rPr>
                <w:sz w:val="28"/>
              </w:rPr>
            </w:pPr>
            <w:r>
              <w:rPr>
                <w:rFonts w:ascii="Times New Roman" w:eastAsia="Times New Roman" w:hAnsi="Times New Roman" w:cs="Times New Roman"/>
                <w:color w:val="000000"/>
                <w:sz w:val="28"/>
              </w:rPr>
              <w:lastRenderedPageBreak/>
              <w:t xml:space="preserve">Цей регуляторний акт відповідає потребам у розв’язанні визначеної </w:t>
            </w:r>
            <w:r>
              <w:rPr>
                <w:rFonts w:ascii="Times New Roman" w:eastAsia="Times New Roman" w:hAnsi="Times New Roman" w:cs="Times New Roman"/>
                <w:color w:val="000000"/>
                <w:sz w:val="28"/>
              </w:rPr>
              <w:lastRenderedPageBreak/>
              <w:t xml:space="preserve">проблеми та принципам державної регуляторної політики. Затвердження такого регуляторного акта забезпечить дотримання вимог податкового законодавства. </w:t>
            </w:r>
          </w:p>
        </w:tc>
      </w:tr>
      <w:tr w:rsidR="009C4748">
        <w:tc>
          <w:tcPr>
            <w:tcW w:w="1887" w:type="dxa"/>
            <w:tcBorders>
              <w:top w:val="single" w:sz="6" w:space="0" w:color="A0A0A0"/>
              <w:left w:val="single" w:sz="6" w:space="0" w:color="F0F0F0"/>
              <w:bottom w:val="single" w:sz="6" w:space="0" w:color="A0A0A0"/>
              <w:right w:val="single" w:sz="6" w:space="0" w:color="A0A0A0"/>
            </w:tcBorders>
            <w:shd w:val="clear" w:color="000000" w:fill="FFFFFF"/>
            <w:tcMar>
              <w:left w:w="34" w:type="dxa"/>
              <w:right w:w="34" w:type="dxa"/>
            </w:tcMar>
          </w:tcPr>
          <w:p w:rsidR="009C4748" w:rsidRDefault="00F85879">
            <w:pPr>
              <w:spacing w:after="51"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Не прийняття регуляторного </w:t>
            </w:r>
          </w:p>
          <w:p w:rsidR="009C4748" w:rsidRDefault="00F85879">
            <w:pPr>
              <w:spacing w:after="5" w:line="240" w:lineRule="auto"/>
              <w:ind w:left="279" w:hanging="24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акта (залишення існуючої на </w:t>
            </w:r>
          </w:p>
          <w:p w:rsidR="009C4748" w:rsidRDefault="00F85879">
            <w:pPr>
              <w:spacing w:after="0" w:line="259" w:lineRule="auto"/>
              <w:ind w:left="15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даний момент </w:t>
            </w:r>
          </w:p>
          <w:p w:rsidR="009C4748" w:rsidRDefault="00F85879">
            <w:pPr>
              <w:spacing w:after="0" w:line="259" w:lineRule="auto"/>
              <w:ind w:left="15" w:right="17"/>
              <w:jc w:val="center"/>
              <w:rPr>
                <w:sz w:val="28"/>
              </w:rPr>
            </w:pPr>
            <w:r>
              <w:rPr>
                <w:rFonts w:ascii="Times New Roman" w:eastAsia="Times New Roman" w:hAnsi="Times New Roman" w:cs="Times New Roman"/>
                <w:color w:val="000000"/>
                <w:sz w:val="28"/>
              </w:rPr>
              <w:t xml:space="preserve">ситуації без змін) </w:t>
            </w:r>
          </w:p>
        </w:tc>
        <w:tc>
          <w:tcPr>
            <w:tcW w:w="2673"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rsidP="00F85879">
            <w:pPr>
              <w:spacing w:after="0" w:line="244"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Відповідно до статті 10 місцеві ради обов’язково встановлюють на майно (в частині транспортного податку ).</w:t>
            </w:r>
          </w:p>
          <w:p w:rsidR="009C4748" w:rsidRDefault="00F85879" w:rsidP="00F85879">
            <w:pPr>
              <w:spacing w:after="0" w:line="247" w:lineRule="auto"/>
              <w:ind w:right="6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w:t>
            </w:r>
          </w:p>
          <w:p w:rsidR="009C4748" w:rsidRDefault="00F85879" w:rsidP="00F85879">
            <w:pPr>
              <w:spacing w:after="0" w:line="259" w:lineRule="auto"/>
              <w:jc w:val="both"/>
              <w:rPr>
                <w:sz w:val="28"/>
              </w:rPr>
            </w:pPr>
            <w:r>
              <w:rPr>
                <w:rFonts w:ascii="Times New Roman" w:eastAsia="Times New Roman" w:hAnsi="Times New Roman" w:cs="Times New Roman"/>
                <w:color w:val="000000"/>
                <w:sz w:val="28"/>
              </w:rPr>
              <w:t xml:space="preserve"> </w:t>
            </w:r>
          </w:p>
        </w:tc>
        <w:tc>
          <w:tcPr>
            <w:tcW w:w="1822"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9" w:lineRule="auto"/>
              <w:ind w:left="2" w:right="220"/>
              <w:jc w:val="both"/>
              <w:rPr>
                <w:sz w:val="28"/>
              </w:rPr>
            </w:pPr>
            <w:r>
              <w:rPr>
                <w:rFonts w:ascii="Times New Roman" w:eastAsia="Times New Roman" w:hAnsi="Times New Roman" w:cs="Times New Roman"/>
                <w:color w:val="000000"/>
                <w:sz w:val="28"/>
              </w:rPr>
              <w:t xml:space="preserve">Витрати суб’єктів оподаткування на сплату транспортно- го податку та обсяг надходжень до бюджету не міняться. </w:t>
            </w:r>
          </w:p>
        </w:tc>
        <w:tc>
          <w:tcPr>
            <w:tcW w:w="2910" w:type="dxa"/>
            <w:tcBorders>
              <w:top w:val="single" w:sz="6" w:space="0" w:color="A0A0A0"/>
              <w:left w:val="single" w:sz="6" w:space="0" w:color="A0A0A0"/>
              <w:bottom w:val="single" w:sz="6" w:space="0" w:color="A0A0A0"/>
              <w:right w:val="single" w:sz="6" w:space="0" w:color="A0A0A0"/>
            </w:tcBorders>
            <w:shd w:val="clear" w:color="000000" w:fill="FFFFFF"/>
            <w:tcMar>
              <w:left w:w="34" w:type="dxa"/>
              <w:right w:w="34" w:type="dxa"/>
            </w:tcMar>
          </w:tcPr>
          <w:p w:rsidR="009C4748" w:rsidRDefault="00F85879">
            <w:pPr>
              <w:spacing w:after="0" w:line="254" w:lineRule="auto"/>
              <w:ind w:right="5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Обсяг надходжень до  бюджету не зміниться, проте міська рада порушить вимоги Податкового кодексу України в частині </w:t>
            </w:r>
          </w:p>
          <w:p w:rsidR="009C4748" w:rsidRDefault="00F85879">
            <w:pPr>
              <w:spacing w:after="0" w:line="259" w:lineRule="auto"/>
              <w:rPr>
                <w:sz w:val="28"/>
              </w:rPr>
            </w:pPr>
            <w:r>
              <w:rPr>
                <w:rFonts w:ascii="Times New Roman" w:eastAsia="Times New Roman" w:hAnsi="Times New Roman" w:cs="Times New Roman"/>
                <w:color w:val="000000"/>
                <w:sz w:val="28"/>
              </w:rPr>
              <w:t xml:space="preserve">обов’язкового встановлення транспортного податку </w:t>
            </w:r>
          </w:p>
        </w:tc>
      </w:tr>
    </w:tbl>
    <w:p w:rsidR="009C4748" w:rsidRDefault="00F85879">
      <w:pPr>
        <w:spacing w:after="0"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tbl>
      <w:tblPr>
        <w:tblW w:w="0" w:type="auto"/>
        <w:tblInd w:w="34" w:type="dxa"/>
        <w:tblCellMar>
          <w:left w:w="10" w:type="dxa"/>
          <w:right w:w="10" w:type="dxa"/>
        </w:tblCellMar>
        <w:tblLook w:val="0000" w:firstRow="0" w:lastRow="0" w:firstColumn="0" w:lastColumn="0" w:noHBand="0" w:noVBand="0"/>
      </w:tblPr>
      <w:tblGrid>
        <w:gridCol w:w="2238"/>
        <w:gridCol w:w="3991"/>
        <w:gridCol w:w="3064"/>
      </w:tblGrid>
      <w:tr w:rsidR="009C4748">
        <w:tc>
          <w:tcPr>
            <w:tcW w:w="9293" w:type="dxa"/>
            <w:gridSpan w:val="3"/>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51" w:line="240" w:lineRule="auto"/>
              <w:ind w:left="2324" w:hanging="1686"/>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Рейтинг Аргументи щодо переваги обраної Оцінка ризику зовнішніх альтернативи / причини відмови від чинників на дію </w:t>
            </w:r>
          </w:p>
          <w:p w:rsidR="009C4748" w:rsidRDefault="00F85879">
            <w:pPr>
              <w:spacing w:after="19" w:line="259" w:lineRule="auto"/>
              <w:ind w:left="2132" w:right="656"/>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альтернативи запропонованого </w:t>
            </w:r>
          </w:p>
          <w:p w:rsidR="009C4748" w:rsidRDefault="00F85879">
            <w:pPr>
              <w:spacing w:after="0" w:line="259" w:lineRule="auto"/>
              <w:ind w:left="6122" w:right="536"/>
              <w:jc w:val="right"/>
              <w:rPr>
                <w:sz w:val="28"/>
              </w:rPr>
            </w:pPr>
            <w:r>
              <w:rPr>
                <w:rFonts w:ascii="Times New Roman" w:eastAsia="Times New Roman" w:hAnsi="Times New Roman" w:cs="Times New Roman"/>
                <w:color w:val="000000"/>
                <w:sz w:val="28"/>
              </w:rPr>
              <w:t xml:space="preserve">регуляторного акта </w:t>
            </w:r>
          </w:p>
        </w:tc>
      </w:tr>
      <w:tr w:rsidR="009C4748">
        <w:tc>
          <w:tcPr>
            <w:tcW w:w="2238"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49"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Прийняття регуляторного акта </w:t>
            </w:r>
          </w:p>
          <w:p w:rsidR="009C4748" w:rsidRDefault="00F85879">
            <w:pPr>
              <w:spacing w:after="0" w:line="259" w:lineRule="auto"/>
              <w:ind w:left="1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відповідно до вимог </w:t>
            </w:r>
          </w:p>
          <w:p w:rsidR="009C4748" w:rsidRDefault="00F85879">
            <w:pPr>
              <w:spacing w:after="0" w:line="259" w:lineRule="auto"/>
              <w:jc w:val="center"/>
              <w:rPr>
                <w:sz w:val="28"/>
              </w:rPr>
            </w:pPr>
            <w:r>
              <w:rPr>
                <w:rFonts w:ascii="Times New Roman" w:eastAsia="Times New Roman" w:hAnsi="Times New Roman" w:cs="Times New Roman"/>
                <w:color w:val="000000"/>
                <w:sz w:val="28"/>
              </w:rPr>
              <w:t xml:space="preserve">Податкового кодексу України </w:t>
            </w:r>
          </w:p>
        </w:tc>
        <w:tc>
          <w:tcPr>
            <w:tcW w:w="3991"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4"/>
              <w:jc w:val="both"/>
              <w:rPr>
                <w:sz w:val="28"/>
              </w:rPr>
            </w:pPr>
            <w:r>
              <w:rPr>
                <w:rFonts w:ascii="Times New Roman" w:eastAsia="Times New Roman" w:hAnsi="Times New Roman" w:cs="Times New Roman"/>
                <w:color w:val="000000"/>
                <w:sz w:val="28"/>
              </w:rPr>
              <w:t xml:space="preserve">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w:t>
            </w:r>
            <w:r>
              <w:rPr>
                <w:rFonts w:ascii="Times New Roman" w:eastAsia="Times New Roman" w:hAnsi="Times New Roman" w:cs="Times New Roman"/>
                <w:color w:val="000000"/>
                <w:sz w:val="28"/>
              </w:rPr>
              <w:lastRenderedPageBreak/>
              <w:t xml:space="preserve">дотримання вимог податкового законодавства.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rPr>
                <w:sz w:val="28"/>
              </w:rPr>
            </w:pPr>
            <w:r>
              <w:rPr>
                <w:rFonts w:ascii="Times New Roman" w:eastAsia="Times New Roman" w:hAnsi="Times New Roman" w:cs="Times New Roman"/>
                <w:color w:val="000000"/>
                <w:sz w:val="28"/>
              </w:rPr>
              <w:lastRenderedPageBreak/>
              <w:t xml:space="preserve">Зміни у Податковому кодексі України, зменшення кількості платників податків. Політична та економічна ситуація </w:t>
            </w:r>
            <w:r>
              <w:rPr>
                <w:rFonts w:ascii="Times New Roman" w:eastAsia="Times New Roman" w:hAnsi="Times New Roman" w:cs="Times New Roman"/>
                <w:color w:val="000000"/>
                <w:sz w:val="28"/>
              </w:rPr>
              <w:tab/>
              <w:t xml:space="preserve">в країні. </w:t>
            </w:r>
          </w:p>
        </w:tc>
      </w:tr>
      <w:tr w:rsidR="009C4748">
        <w:tc>
          <w:tcPr>
            <w:tcW w:w="2238" w:type="dxa"/>
            <w:tcBorders>
              <w:top w:val="single" w:sz="6" w:space="0" w:color="A0A0A0"/>
              <w:left w:val="single" w:sz="6" w:space="0" w:color="F0F0F0"/>
              <w:bottom w:val="single" w:sz="6" w:space="0" w:color="A0A0A0"/>
              <w:right w:val="single" w:sz="6" w:space="0" w:color="A0A0A0"/>
            </w:tcBorders>
            <w:shd w:val="clear" w:color="000000" w:fill="FFFFFF"/>
            <w:tcMar>
              <w:left w:w="35" w:type="dxa"/>
              <w:right w:w="35" w:type="dxa"/>
            </w:tcMar>
          </w:tcPr>
          <w:p w:rsidR="009C4748" w:rsidRDefault="00F85879">
            <w:pPr>
              <w:spacing w:after="5"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Не прийняття регуляторного акта </w:t>
            </w:r>
          </w:p>
          <w:p w:rsidR="009C4748" w:rsidRDefault="00F85879">
            <w:pPr>
              <w:spacing w:after="5" w:line="240" w:lineRule="auto"/>
              <w:ind w:left="1" w:right="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(залишення існуючої на даний </w:t>
            </w:r>
          </w:p>
          <w:p w:rsidR="009C4748" w:rsidRDefault="00F85879">
            <w:pPr>
              <w:spacing w:after="16" w:line="259" w:lineRule="auto"/>
              <w:ind w:left="38"/>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момент ситуації без </w:t>
            </w:r>
          </w:p>
          <w:p w:rsidR="009C4748" w:rsidRDefault="00F85879">
            <w:pPr>
              <w:spacing w:after="0" w:line="259" w:lineRule="auto"/>
              <w:ind w:right="67"/>
              <w:jc w:val="center"/>
              <w:rPr>
                <w:sz w:val="28"/>
              </w:rPr>
            </w:pPr>
            <w:r>
              <w:rPr>
                <w:rFonts w:ascii="Times New Roman" w:eastAsia="Times New Roman" w:hAnsi="Times New Roman" w:cs="Times New Roman"/>
                <w:color w:val="000000"/>
                <w:sz w:val="28"/>
              </w:rPr>
              <w:t xml:space="preserve">змін) </w:t>
            </w:r>
          </w:p>
        </w:tc>
        <w:tc>
          <w:tcPr>
            <w:tcW w:w="3991"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0" w:line="259" w:lineRule="auto"/>
              <w:ind w:right="62"/>
              <w:jc w:val="both"/>
              <w:rPr>
                <w:sz w:val="28"/>
              </w:rPr>
            </w:pPr>
            <w:r>
              <w:rPr>
                <w:rFonts w:ascii="Times New Roman" w:eastAsia="Times New Roman" w:hAnsi="Times New Roman" w:cs="Times New Roman"/>
                <w:color w:val="000000"/>
                <w:sz w:val="28"/>
              </w:rPr>
              <w:t xml:space="preserve">Згідно підпункту 12.3.5 пункту 12.3 статті 12 Податкового кодексу України  транспортний податок буде справлятись виходячи з норм Кодексу у фіксованому розмірі 25 000 грн. за один об’єкт оподаткування.  Обсяг надходжень до сільського бюджету не зміниться, проте сільська рада порушить вимоги Податкового кодексу України в частині обов’язкового встановлення транспортного податку. </w:t>
            </w:r>
          </w:p>
        </w:tc>
        <w:tc>
          <w:tcPr>
            <w:tcW w:w="3064" w:type="dxa"/>
            <w:tcBorders>
              <w:top w:val="single" w:sz="6" w:space="0" w:color="A0A0A0"/>
              <w:left w:val="single" w:sz="6" w:space="0" w:color="A0A0A0"/>
              <w:bottom w:val="single" w:sz="6" w:space="0" w:color="A0A0A0"/>
              <w:right w:val="single" w:sz="6" w:space="0" w:color="A0A0A0"/>
            </w:tcBorders>
            <w:shd w:val="clear" w:color="000000" w:fill="FFFFFF"/>
            <w:tcMar>
              <w:left w:w="35" w:type="dxa"/>
              <w:right w:w="35" w:type="dxa"/>
            </w:tcMar>
          </w:tcPr>
          <w:p w:rsidR="009C4748" w:rsidRDefault="00F85879">
            <w:pPr>
              <w:spacing w:after="256" w:line="259" w:lineRule="auto"/>
              <w:ind w:right="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56" w:line="259" w:lineRule="auto"/>
              <w:ind w:right="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288" w:line="259" w:lineRule="auto"/>
              <w:ind w:right="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spacing w:after="0" w:line="259" w:lineRule="auto"/>
              <w:ind w:right="64"/>
              <w:jc w:val="center"/>
              <w:rPr>
                <w:sz w:val="28"/>
              </w:rPr>
            </w:pPr>
            <w:r>
              <w:rPr>
                <w:rFonts w:ascii="Times New Roman" w:eastAsia="Times New Roman" w:hAnsi="Times New Roman" w:cs="Times New Roman"/>
                <w:color w:val="000000"/>
                <w:sz w:val="28"/>
              </w:rPr>
              <w:t xml:space="preserve">Х </w:t>
            </w:r>
          </w:p>
        </w:tc>
      </w:tr>
    </w:tbl>
    <w:p w:rsidR="009C4748" w:rsidRDefault="00F85879">
      <w:pPr>
        <w:spacing w:after="113"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keepNext/>
        <w:keepLines/>
        <w:spacing w:after="0" w:line="270" w:lineRule="auto"/>
        <w:ind w:right="14"/>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V. Механізми та заходи, які забезпечать розв'язання визначеної проблеми </w:t>
      </w:r>
    </w:p>
    <w:p w:rsidR="009C4748" w:rsidRDefault="00F8587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Оприлюднення проекту рішення </w:t>
      </w:r>
      <w:r>
        <w:rPr>
          <w:rFonts w:ascii="Times New Roman" w:eastAsia="Times New Roman" w:hAnsi="Times New Roman" w:cs="Times New Roman"/>
          <w:sz w:val="28"/>
        </w:rPr>
        <w:t>«Про встановлення ставки транспортного податку»</w:t>
      </w:r>
    </w:p>
    <w:p w:rsidR="009C4748" w:rsidRDefault="00F85879">
      <w:pPr>
        <w:numPr>
          <w:ilvl w:val="0"/>
          <w:numId w:val="2"/>
        </w:numPr>
        <w:spacing w:after="7" w:line="272" w:lineRule="auto"/>
        <w:ind w:left="348" w:right="-3"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 метою отримання зауважень та пропозицій. </w:t>
      </w:r>
    </w:p>
    <w:p w:rsidR="009C4748" w:rsidRDefault="00F85879">
      <w:pPr>
        <w:numPr>
          <w:ilvl w:val="0"/>
          <w:numId w:val="2"/>
        </w:numPr>
        <w:spacing w:after="5" w:line="270" w:lineRule="auto"/>
        <w:ind w:left="348" w:right="-3" w:firstLine="7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Встановлення транспортного податку. </w:t>
      </w:r>
    </w:p>
    <w:p w:rsidR="009C4748" w:rsidRDefault="00F85879">
      <w:pPr>
        <w:spacing w:after="0" w:line="259" w:lineRule="auto"/>
        <w:ind w:left="71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Default="00F85879">
      <w:pPr>
        <w:keepNext/>
        <w:keepLines/>
        <w:spacing w:after="83" w:line="27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w:t>
      </w:r>
    </w:p>
    <w:p w:rsidR="009C4748" w:rsidRDefault="00F85879">
      <w:pPr>
        <w:spacing w:after="83"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Розрахунок витрат на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 не здійснювався. </w:t>
      </w:r>
    </w:p>
    <w:p w:rsidR="009C4748" w:rsidRDefault="00F85879">
      <w:pPr>
        <w:spacing w:after="154" w:line="259" w:lineRule="auto"/>
        <w:ind w:left="706"/>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Pr>
          <w:rFonts w:ascii="Times New Roman" w:eastAsia="Times New Roman" w:hAnsi="Times New Roman" w:cs="Times New Roman"/>
          <w:b/>
          <w:color w:val="000000"/>
          <w:sz w:val="28"/>
        </w:rPr>
        <w:t xml:space="preserve">VII. Обґрунтування запропонованого строку дії регуляторного акта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дію цього регуляторного акта негативно можуть вплинути економічна  криза, значні темпи інфляції,</w:t>
      </w:r>
      <w:r>
        <w:rPr>
          <w:rFonts w:ascii="Calibri" w:eastAsia="Calibri" w:hAnsi="Calibri" w:cs="Calibri"/>
          <w:color w:val="000000"/>
          <w:sz w:val="28"/>
        </w:rPr>
        <w:t xml:space="preserve"> р</w:t>
      </w:r>
      <w:r>
        <w:rPr>
          <w:rFonts w:ascii="Times New Roman" w:eastAsia="Times New Roman" w:hAnsi="Times New Roman" w:cs="Times New Roman"/>
          <w:color w:val="000000"/>
          <w:sz w:val="28"/>
        </w:rPr>
        <w:t xml:space="preserve">ізке </w:t>
      </w:r>
      <w:proofErr w:type="spellStart"/>
      <w:r>
        <w:rPr>
          <w:rFonts w:ascii="Times New Roman" w:eastAsia="Times New Roman" w:hAnsi="Times New Roman" w:cs="Times New Roman"/>
          <w:color w:val="000000"/>
          <w:sz w:val="28"/>
        </w:rPr>
        <w:t>здорожчання</w:t>
      </w:r>
      <w:proofErr w:type="spellEnd"/>
      <w:r>
        <w:rPr>
          <w:rFonts w:ascii="Times New Roman" w:eastAsia="Times New Roman" w:hAnsi="Times New Roman" w:cs="Times New Roman"/>
          <w:color w:val="000000"/>
          <w:sz w:val="28"/>
        </w:rPr>
        <w:t xml:space="preserve"> тарифів на енергоносії та продукти харчування при незмінному розмірі мінімальної заробітної плати. Ці фактори впливають на рівень платоспроможності населення та призводять до закриття підприємницької діяльності.  Позитивно на дію цього регуляторного акта може вплинути економічна стабільність в країні та підвищення темпів росту ВВП.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Строк дії акта – до повторного відстеження необмежений, з подальшим продовженням чи внесенням відповідних змін.  </w:t>
      </w:r>
    </w:p>
    <w:p w:rsidR="009C4748" w:rsidRDefault="00F85879">
      <w:pPr>
        <w:spacing w:after="149"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w:t>
      </w:r>
    </w:p>
    <w:p w:rsidR="009C4748" w:rsidRDefault="00F85879">
      <w:pPr>
        <w:spacing w:after="149" w:line="259" w:lineRule="auto"/>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VIII. Визначення показників результативності дії регуляторного акта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акта обрано такі прогнозні статистичні показники: </w:t>
      </w:r>
    </w:p>
    <w:tbl>
      <w:tblPr>
        <w:tblW w:w="0" w:type="auto"/>
        <w:tblInd w:w="5" w:type="dxa"/>
        <w:tblCellMar>
          <w:left w:w="10" w:type="dxa"/>
          <w:right w:w="10" w:type="dxa"/>
        </w:tblCellMar>
        <w:tblLook w:val="0000" w:firstRow="0" w:lastRow="0" w:firstColumn="0" w:lastColumn="0" w:noHBand="0" w:noVBand="0"/>
      </w:tblPr>
      <w:tblGrid>
        <w:gridCol w:w="4163"/>
        <w:gridCol w:w="2291"/>
        <w:gridCol w:w="2896"/>
      </w:tblGrid>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61"/>
              <w:jc w:val="center"/>
              <w:rPr>
                <w:sz w:val="28"/>
              </w:rPr>
            </w:pPr>
            <w:r>
              <w:rPr>
                <w:rFonts w:ascii="Times New Roman" w:eastAsia="Times New Roman" w:hAnsi="Times New Roman" w:cs="Times New Roman"/>
                <w:color w:val="000000"/>
                <w:sz w:val="28"/>
              </w:rPr>
              <w:t xml:space="preserve">Назва показника </w:t>
            </w:r>
          </w:p>
        </w:tc>
        <w:tc>
          <w:tcPr>
            <w:tcW w:w="2291"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63"/>
              <w:jc w:val="center"/>
              <w:rPr>
                <w:sz w:val="28"/>
              </w:rPr>
            </w:pPr>
            <w:r>
              <w:rPr>
                <w:rFonts w:ascii="Times New Roman" w:eastAsia="Times New Roman" w:hAnsi="Times New Roman" w:cs="Times New Roman"/>
                <w:color w:val="000000"/>
                <w:sz w:val="28"/>
              </w:rPr>
              <w:t xml:space="preserve">за 2020 р. </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0" w:line="259" w:lineRule="auto"/>
              <w:ind w:right="6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 2021 р. </w:t>
            </w:r>
          </w:p>
          <w:p w:rsidR="009C4748" w:rsidRDefault="00F85879">
            <w:pPr>
              <w:spacing w:after="0" w:line="259" w:lineRule="auto"/>
              <w:ind w:right="5"/>
              <w:jc w:val="center"/>
              <w:rPr>
                <w:sz w:val="28"/>
              </w:rPr>
            </w:pPr>
            <w:r>
              <w:rPr>
                <w:rFonts w:ascii="Times New Roman" w:eastAsia="Times New Roman" w:hAnsi="Times New Roman" w:cs="Times New Roman"/>
                <w:color w:val="000000"/>
                <w:sz w:val="28"/>
              </w:rPr>
              <w:t xml:space="preserve"> </w:t>
            </w:r>
          </w:p>
        </w:tc>
      </w:tr>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0" w:line="258"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Надходження до бюджету транспортного податку від фізичних та юридичних осіб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c>
          <w:tcPr>
            <w:tcW w:w="2291"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Pr="003F3E98" w:rsidRDefault="003F3E98">
            <w:pPr>
              <w:spacing w:after="0" w:line="259" w:lineRule="auto"/>
              <w:ind w:right="61"/>
              <w:jc w:val="center"/>
              <w:rPr>
                <w:sz w:val="28"/>
              </w:rPr>
            </w:pPr>
            <w:r w:rsidRPr="003F3E98">
              <w:rPr>
                <w:rFonts w:ascii="Times New Roman" w:eastAsia="Times New Roman" w:hAnsi="Times New Roman" w:cs="Times New Roman"/>
                <w:sz w:val="28"/>
              </w:rPr>
              <w:t>212,97</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Pr="00525CBF" w:rsidRDefault="00525CBF">
            <w:pPr>
              <w:spacing w:after="0" w:line="259" w:lineRule="auto"/>
              <w:ind w:right="72"/>
              <w:jc w:val="center"/>
              <w:rPr>
                <w:sz w:val="28"/>
              </w:rPr>
            </w:pPr>
            <w:r w:rsidRPr="00525CBF">
              <w:rPr>
                <w:rFonts w:ascii="Times New Roman" w:eastAsia="Times New Roman" w:hAnsi="Times New Roman" w:cs="Times New Roman"/>
                <w:sz w:val="28"/>
              </w:rPr>
              <w:t>270,00</w:t>
            </w:r>
          </w:p>
        </w:tc>
      </w:tr>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0" w:line="258" w:lineRule="auto"/>
              <w:ind w:right="6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Витрати суб’єктів господарювання на адміністративні процедури щодо виконання регулювання та звітування  </w:t>
            </w:r>
          </w:p>
          <w:p w:rsidR="009C4748" w:rsidRDefault="00F85879">
            <w:pPr>
              <w:spacing w:after="0" w:line="259" w:lineRule="auto"/>
              <w:rPr>
                <w:sz w:val="28"/>
              </w:rPr>
            </w:pPr>
            <w:r>
              <w:rPr>
                <w:rFonts w:ascii="Times New Roman" w:eastAsia="Times New Roman" w:hAnsi="Times New Roman" w:cs="Times New Roman"/>
                <w:color w:val="000000"/>
                <w:sz w:val="28"/>
              </w:rPr>
              <w:t xml:space="preserve"> </w:t>
            </w:r>
          </w:p>
        </w:tc>
        <w:tc>
          <w:tcPr>
            <w:tcW w:w="2291"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71"/>
              <w:jc w:val="center"/>
              <w:rPr>
                <w:sz w:val="28"/>
              </w:rPr>
            </w:pPr>
            <w:r>
              <w:rPr>
                <w:rFonts w:ascii="Times New Roman" w:eastAsia="Times New Roman" w:hAnsi="Times New Roman" w:cs="Times New Roman"/>
                <w:color w:val="000000"/>
                <w:sz w:val="28"/>
              </w:rPr>
              <w:t xml:space="preserve">- </w:t>
            </w:r>
          </w:p>
        </w:tc>
        <w:tc>
          <w:tcPr>
            <w:tcW w:w="2896"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vAlign w:val="center"/>
          </w:tcPr>
          <w:p w:rsidR="009C4748" w:rsidRDefault="00F85879">
            <w:pPr>
              <w:spacing w:after="0" w:line="259" w:lineRule="auto"/>
              <w:ind w:right="72"/>
              <w:jc w:val="center"/>
              <w:rPr>
                <w:sz w:val="28"/>
              </w:rPr>
            </w:pPr>
            <w:r>
              <w:rPr>
                <w:rFonts w:ascii="Times New Roman" w:eastAsia="Times New Roman" w:hAnsi="Times New Roman" w:cs="Times New Roman"/>
                <w:color w:val="000000"/>
                <w:sz w:val="28"/>
              </w:rPr>
              <w:t xml:space="preserve">- </w:t>
            </w:r>
          </w:p>
        </w:tc>
      </w:tr>
      <w:tr w:rsidR="009C4748">
        <w:tc>
          <w:tcPr>
            <w:tcW w:w="4163" w:type="dxa"/>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pPr>
              <w:spacing w:after="39" w:line="240" w:lineRule="auto"/>
              <w:ind w:right="6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Рівень поінформованості громадян та суб’єктів господарювання стосовно основних положень регуляторного </w:t>
            </w:r>
          </w:p>
          <w:p w:rsidR="009C4748" w:rsidRDefault="00F85879">
            <w:pPr>
              <w:spacing w:after="0" w:line="259" w:lineRule="auto"/>
              <w:rPr>
                <w:sz w:val="28"/>
              </w:rPr>
            </w:pPr>
            <w:r>
              <w:rPr>
                <w:rFonts w:ascii="Times New Roman" w:eastAsia="Times New Roman" w:hAnsi="Times New Roman" w:cs="Times New Roman"/>
                <w:color w:val="000000"/>
                <w:sz w:val="28"/>
              </w:rPr>
              <w:t xml:space="preserve">акта </w:t>
            </w:r>
          </w:p>
        </w:tc>
        <w:tc>
          <w:tcPr>
            <w:tcW w:w="5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75" w:type="dxa"/>
              <w:right w:w="75" w:type="dxa"/>
            </w:tcMar>
          </w:tcPr>
          <w:p w:rsidR="009C4748" w:rsidRDefault="00F85879" w:rsidP="00F61692">
            <w:pPr>
              <w:spacing w:after="0" w:line="259" w:lineRule="auto"/>
              <w:jc w:val="both"/>
              <w:rPr>
                <w:sz w:val="28"/>
              </w:rPr>
            </w:pPr>
            <w:r>
              <w:rPr>
                <w:rFonts w:ascii="Times New Roman" w:eastAsia="Times New Roman" w:hAnsi="Times New Roman" w:cs="Times New Roman"/>
                <w:color w:val="000000"/>
                <w:sz w:val="28"/>
              </w:rPr>
              <w:t xml:space="preserve">Проект рішення оприлюднюється на офіційній сторінці </w:t>
            </w:r>
            <w:proofErr w:type="spellStart"/>
            <w:r w:rsidR="00F61692">
              <w:rPr>
                <w:rFonts w:ascii="Times New Roman" w:eastAsia="Times New Roman" w:hAnsi="Times New Roman" w:cs="Times New Roman"/>
                <w:color w:val="000000"/>
                <w:sz w:val="28"/>
              </w:rPr>
              <w:t>Рогатинської</w:t>
            </w:r>
            <w:proofErr w:type="spellEnd"/>
            <w:r w:rsidR="00F61692">
              <w:rPr>
                <w:rFonts w:ascii="Times New Roman" w:eastAsia="Times New Roman" w:hAnsi="Times New Roman" w:cs="Times New Roman"/>
                <w:color w:val="000000"/>
                <w:sz w:val="28"/>
              </w:rPr>
              <w:t xml:space="preserve"> міської ради </w:t>
            </w:r>
            <w:r>
              <w:rPr>
                <w:rFonts w:ascii="Times New Roman" w:eastAsia="Times New Roman" w:hAnsi="Times New Roman" w:cs="Times New Roman"/>
                <w:color w:val="000000"/>
                <w:sz w:val="28"/>
              </w:rPr>
              <w:t xml:space="preserve">в мережі  </w:t>
            </w:r>
          </w:p>
        </w:tc>
      </w:tr>
    </w:tbl>
    <w:p w:rsidR="009C4748" w:rsidRDefault="00F85879">
      <w:pPr>
        <w:spacing w:after="228" w:line="259" w:lineRule="auto"/>
        <w:rPr>
          <w:rFonts w:ascii="Times New Roman" w:eastAsia="Times New Roman" w:hAnsi="Times New Roman" w:cs="Times New Roman"/>
          <w:color w:val="000000"/>
          <w:sz w:val="24"/>
        </w:rPr>
      </w:pPr>
      <w:r>
        <w:rPr>
          <w:rFonts w:ascii="Calibri" w:eastAsia="Calibri" w:hAnsi="Calibri" w:cs="Calibri"/>
          <w:color w:val="000000"/>
        </w:rPr>
        <w:t xml:space="preserve"> </w:t>
      </w:r>
    </w:p>
    <w:p w:rsidR="009C4748" w:rsidRDefault="00F85879">
      <w:pPr>
        <w:keepNext/>
        <w:keepLines/>
        <w:spacing w:after="113" w:line="27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IX. Визначення заходів, за допомогою яких здійснюватиметься відстеження результативності дії регуляторного акта </w:t>
      </w:r>
    </w:p>
    <w:p w:rsidR="009C4748" w:rsidRDefault="00F85879">
      <w:pPr>
        <w:spacing w:after="0" w:line="259" w:lineRule="auto"/>
        <w:ind w:left="59"/>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Відстеження результативності дії акта буде здійснюватися в терміни, визначені Законом України «Про засади державної регуляторної політики у сфері господарської діяльності» та відповідно до методики, затвердженої Постановою Кабінету Міністрів України від 11 березня 2004 року № 308 «Про затвердження методик проведення аналізу впливу та відстеження результативності регуляторного акта», зі змінами: </w:t>
      </w:r>
    </w:p>
    <w:p w:rsidR="009C4748" w:rsidRDefault="00F85879">
      <w:pPr>
        <w:spacing w:after="5" w:line="270" w:lineRule="auto"/>
        <w:ind w:left="-15" w:firstLine="7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Базове відстеження результативності дії регуляторного акту здійснюватиметься до дати набрання чинності цього регуляторного акта.  </w:t>
      </w:r>
    </w:p>
    <w:p w:rsidR="009C4748" w:rsidRDefault="00F85879">
      <w:pPr>
        <w:spacing w:after="5" w:line="270" w:lineRule="auto"/>
        <w:ind w:left="-5" w:hanging="1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 огляду на показники результативності, визначені в попередньому розділі</w:t>
      </w:r>
      <w:r>
        <w:rPr>
          <w:rFonts w:ascii="Calibri" w:eastAsia="Calibri" w:hAnsi="Calibri" w:cs="Calibri"/>
          <w:color w:val="000000"/>
          <w:sz w:val="28"/>
        </w:rPr>
        <w:t xml:space="preserve"> </w:t>
      </w:r>
      <w:r>
        <w:rPr>
          <w:rFonts w:ascii="Times New Roman" w:eastAsia="Times New Roman" w:hAnsi="Times New Roman" w:cs="Times New Roman"/>
          <w:color w:val="000000"/>
          <w:sz w:val="28"/>
        </w:rPr>
        <w:t xml:space="preserve">аналізу регуляторного впливу, відстеження буде проводитись за допомогою статистичного методу та шляхом опитування. </w:t>
      </w:r>
    </w:p>
    <w:p w:rsidR="009C4748" w:rsidRDefault="00F85879">
      <w:pPr>
        <w:spacing w:after="21" w:line="259"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9C4748" w:rsidRPr="00872978" w:rsidRDefault="00872978" w:rsidP="00872978">
      <w:pPr>
        <w:spacing w:after="0" w:line="259" w:lineRule="auto"/>
        <w:ind w:left="720"/>
        <w:rPr>
          <w:rFonts w:ascii="Times New Roman" w:eastAsia="Times New Roman" w:hAnsi="Times New Roman" w:cs="Times New Roman"/>
          <w:color w:val="000000"/>
          <w:sz w:val="28"/>
        </w:rPr>
      </w:pPr>
      <w:r w:rsidRPr="00872978">
        <w:rPr>
          <w:rFonts w:ascii="Times New Roman" w:eastAsia="Calibri" w:hAnsi="Times New Roman" w:cs="Times New Roman"/>
          <w:color w:val="000000"/>
          <w:sz w:val="28"/>
        </w:rPr>
        <w:t xml:space="preserve"> Начальник фінансового відділу                                             Марія </w:t>
      </w:r>
      <w:proofErr w:type="spellStart"/>
      <w:r w:rsidRPr="00872978">
        <w:rPr>
          <w:rFonts w:ascii="Times New Roman" w:eastAsia="Calibri" w:hAnsi="Times New Roman" w:cs="Times New Roman"/>
          <w:color w:val="000000"/>
          <w:sz w:val="28"/>
        </w:rPr>
        <w:t>Гураль</w:t>
      </w:r>
      <w:proofErr w:type="spellEnd"/>
      <w:r w:rsidR="00F85879" w:rsidRPr="00872978">
        <w:rPr>
          <w:rFonts w:ascii="Times New Roman" w:eastAsia="Calibri" w:hAnsi="Times New Roman" w:cs="Times New Roman"/>
          <w:color w:val="000000"/>
          <w:sz w:val="28"/>
        </w:rPr>
        <w:t xml:space="preserve">     </w:t>
      </w:r>
    </w:p>
    <w:p w:rsidR="009C4748" w:rsidRDefault="009C4748">
      <w:pPr>
        <w:spacing w:after="0" w:line="259" w:lineRule="auto"/>
        <w:rPr>
          <w:rFonts w:ascii="Times New Roman" w:eastAsia="Times New Roman" w:hAnsi="Times New Roman" w:cs="Times New Roman"/>
          <w:color w:val="000000"/>
          <w:sz w:val="28"/>
        </w:rPr>
      </w:pPr>
    </w:p>
    <w:sectPr w:rsidR="009C47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C3A6F"/>
    <w:multiLevelType w:val="multilevel"/>
    <w:tmpl w:val="C726A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CC0715"/>
    <w:multiLevelType w:val="multilevel"/>
    <w:tmpl w:val="A4E69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48"/>
    <w:rsid w:val="002A56B8"/>
    <w:rsid w:val="00396DF2"/>
    <w:rsid w:val="003B2ED2"/>
    <w:rsid w:val="003D2B33"/>
    <w:rsid w:val="003F3E98"/>
    <w:rsid w:val="003F7070"/>
    <w:rsid w:val="00525CBF"/>
    <w:rsid w:val="00620BF0"/>
    <w:rsid w:val="00766EE6"/>
    <w:rsid w:val="00872978"/>
    <w:rsid w:val="00896C4B"/>
    <w:rsid w:val="0094067B"/>
    <w:rsid w:val="009C4748"/>
    <w:rsid w:val="00DD15AB"/>
    <w:rsid w:val="00DE3A72"/>
    <w:rsid w:val="00F61692"/>
    <w:rsid w:val="00F856FB"/>
    <w:rsid w:val="00F85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0DDCA-C9F7-4EF0-B629-214862A0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8629</Words>
  <Characters>4919</Characters>
  <Application>Microsoft Office Word</Application>
  <DocSecurity>0</DocSecurity>
  <Lines>40</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2021-06-02T11:07:00Z</cp:lastPrinted>
  <dcterms:created xsi:type="dcterms:W3CDTF">2021-09-06T06:54:00Z</dcterms:created>
  <dcterms:modified xsi:type="dcterms:W3CDTF">2021-09-06T06:54:00Z</dcterms:modified>
</cp:coreProperties>
</file>