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05" w:rsidRPr="00560393" w:rsidRDefault="00295C05" w:rsidP="002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Комунальне некомерційне медичне підприємство</w:t>
      </w:r>
    </w:p>
    <w:p w:rsidR="00295C05" w:rsidRPr="00560393" w:rsidRDefault="00295C05" w:rsidP="002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РОГАТИНСЬКА ЦЕНТРАЛЬНА РАЙОННА ЛІКАРНЯ </w:t>
      </w:r>
    </w:p>
    <w:p w:rsidR="00295C05" w:rsidRPr="00560393" w:rsidRDefault="00295C05" w:rsidP="002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77001 вул. </w:t>
      </w:r>
      <w:proofErr w:type="spellStart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Чорновола</w:t>
      </w:r>
      <w:proofErr w:type="spellEnd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, 9,  м. Рогатин,  Івано-Франківська обл.</w:t>
      </w:r>
    </w:p>
    <w:p w:rsidR="00295C05" w:rsidRPr="001B4D9D" w:rsidRDefault="00295C05" w:rsidP="002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A86E8"/>
          <w:sz w:val="20"/>
          <w:szCs w:val="20"/>
        </w:rPr>
      </w:pPr>
    </w:p>
    <w:p w:rsidR="00295C05" w:rsidRDefault="00295C05" w:rsidP="00295C05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295C05" w:rsidRDefault="00295C05" w:rsidP="002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295C05" w:rsidRDefault="00295C05" w:rsidP="00295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295C05" w:rsidRDefault="00295C05" w:rsidP="002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295C05" w:rsidRDefault="00295C05" w:rsidP="002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W w:w="15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564"/>
        <w:gridCol w:w="2470"/>
        <w:gridCol w:w="2614"/>
        <w:gridCol w:w="3309"/>
        <w:gridCol w:w="3346"/>
      </w:tblGrid>
      <w:tr w:rsidR="00295C05" w:rsidTr="001142E5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295C05" w:rsidTr="001142E5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C05" w:rsidRDefault="00295C05" w:rsidP="00114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295C05" w:rsidTr="001142E5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95C05" w:rsidTr="001142E5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05" w:rsidRPr="00295C05" w:rsidRDefault="00295C05" w:rsidP="002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«ДК 021:2015 –33600000-6 Фармацевтична продукція» (МНН: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Amikacin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Azithromycin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Ambroxol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Amoxicillin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beta-lactamase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inhibitor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Antral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Amiodarone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Magnesium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different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salts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combination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Oxybuprocaine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Betamethasone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Bisoprolol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Ibuprofen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Сomb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drug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Ademetionine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Glucose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Glucose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Glucose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Dexamethasone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Diclofenac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Methyldopa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Drotaverine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Erythropoietin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Erythropoietin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Enalapril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Theophylline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Isosorbide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dinitrate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Electrolytes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Calcium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gluconate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Carvedilol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Ketorolac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Aminocaproic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acid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Electrolytes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combination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with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other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drugs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Comb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drug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Levofloxacin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Citicoline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Magnesium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sulfate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Ambroxol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Sodium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chloride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Sodium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chloride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Fluticasone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Nicotinic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acid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Nifuroxazide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Omeprazole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Omeprazole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Comb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drug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Papaverine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Paracetamol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Paracetamol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Pentoxifylline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Pyridoxine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vit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B6),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Meloxicam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Electrolytes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combination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with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other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drugs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Electrolytes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Thiamine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vit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B1),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Torasemide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Enoxaparin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Еnoterol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ipratropium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bromide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Cefazolin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Cyanocobalamin</w:t>
            </w:r>
            <w:proofErr w:type="spellEnd"/>
            <w:r w:rsidRPr="00295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)».</w:t>
            </w:r>
          </w:p>
          <w:p w:rsidR="00295C05" w:rsidRDefault="00295C05" w:rsidP="0029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C05" w:rsidRDefault="00295C05" w:rsidP="0011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05" w:rsidRPr="00295C05" w:rsidRDefault="00295C05" w:rsidP="00295C05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2100000</w:t>
            </w:r>
            <w:r w:rsidRPr="0029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.00 (</w:t>
            </w:r>
            <w:r w:rsidRPr="00295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Два мільйона сто тисяч гривень 00 копійок</w:t>
            </w:r>
            <w:r w:rsidRPr="0029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C05" w:rsidRP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UA-2023-07-03-000130-a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 час визначення вимог щодо підтвердження якості лікарського засобу враховуються вимоги Закону України «Про лікарські засоби» із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Якісні та технічні характеристики заявленої кількості лікарських засобів визначені з урахуванням реальних потреб підприємства та оптимального співвідношення ціни та якості.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295C05" w:rsidRDefault="00295C05" w:rsidP="001142E5"/>
          <w:p w:rsidR="00295C05" w:rsidRDefault="00295C05" w:rsidP="0011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Очікувана вартість закупівлі формувалась із середніх цін комерційних пропозицій, наданих суб’єктами господарювання</w:t>
            </w:r>
          </w:p>
        </w:tc>
      </w:tr>
    </w:tbl>
    <w:bookmarkEnd w:id="0"/>
    <w:p w:rsidR="00295C05" w:rsidRDefault="00295C05" w:rsidP="00295C0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>
        <w:lastRenderedPageBreak/>
        <w:t xml:space="preserve">                </w:t>
      </w:r>
      <w:r>
        <w:rPr>
          <w:b/>
          <w:sz w:val="28"/>
          <w:szCs w:val="28"/>
        </w:rPr>
        <w:t xml:space="preserve">   </w:t>
      </w:r>
    </w:p>
    <w:p w:rsidR="00BD2E44" w:rsidRDefault="00BD2E44"/>
    <w:sectPr w:rsidR="00BD2E44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05"/>
    <w:rsid w:val="00295C05"/>
    <w:rsid w:val="00B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10BE"/>
  <w15:chartTrackingRefBased/>
  <w15:docId w15:val="{5F8A4444-976D-491B-B937-A8D65E0C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05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2057</Words>
  <Characters>1174</Characters>
  <Application>Microsoft Office Word</Application>
  <DocSecurity>0</DocSecurity>
  <Lines>9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Кривень</dc:creator>
  <cp:keywords/>
  <dc:description/>
  <cp:lastModifiedBy>Василь Кривень</cp:lastModifiedBy>
  <cp:revision>1</cp:revision>
  <dcterms:created xsi:type="dcterms:W3CDTF">2023-07-03T18:12:00Z</dcterms:created>
  <dcterms:modified xsi:type="dcterms:W3CDTF">2023-07-03T18:17:00Z</dcterms:modified>
</cp:coreProperties>
</file>