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106BA">
        <w:rPr>
          <w:rFonts w:ascii="Times New Roman" w:hAnsi="Times New Roman" w:cs="Times New Roman"/>
          <w:sz w:val="28"/>
          <w:szCs w:val="28"/>
        </w:rPr>
        <w:t>№202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2106BA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6BA">
              <w:rPr>
                <w:rFonts w:ascii="Times New Roman" w:hAnsi="Times New Roman" w:cs="Times New Roman"/>
                <w:sz w:val="28"/>
                <w:szCs w:val="28"/>
              </w:rPr>
              <w:t>Генега</w:t>
            </w:r>
            <w:proofErr w:type="spellEnd"/>
            <w:r w:rsidRPr="002106BA">
              <w:rPr>
                <w:rFonts w:ascii="Times New Roman" w:hAnsi="Times New Roman" w:cs="Times New Roman"/>
                <w:sz w:val="28"/>
                <w:szCs w:val="28"/>
              </w:rPr>
              <w:t xml:space="preserve"> П.І.,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6BA">
              <w:rPr>
                <w:rFonts w:ascii="Times New Roman" w:hAnsi="Times New Roman" w:cs="Times New Roman"/>
                <w:sz w:val="28"/>
                <w:szCs w:val="28"/>
              </w:rPr>
              <w:t>Гриньків З.В.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572A4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2023-06-27T12:53:00Z</dcterms:created>
  <dcterms:modified xsi:type="dcterms:W3CDTF">2023-06-27T12:53:00Z</dcterms:modified>
</cp:coreProperties>
</file>