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W w:w="3969" w:type="dxa"/>
        <w:tblInd w:w="5529" w:type="dxa"/>
        <w:tblLayout w:type="fixed"/>
        <w:tblLook w:val="0000"/>
      </w:tblPr>
      <w:tblGrid>
        <w:gridCol w:w="3969"/>
      </w:tblGrid>
      <w:tr w:rsidR="00980A32" w:rsidRPr="00980A32" w:rsidTr="00184A2D">
        <w:tc>
          <w:tcPr>
            <w:tcW w:w="3969" w:type="dxa"/>
          </w:tcPr>
          <w:p w:rsidR="00AD5AD5" w:rsidRPr="00980A32" w:rsidRDefault="00D91E1D">
            <w:pPr>
              <w:ind w:left="1" w:hanging="3"/>
              <w:jc w:val="both"/>
              <w:rPr>
                <w:spacing w:val="-8"/>
                <w:sz w:val="28"/>
                <w:szCs w:val="28"/>
                <w:lang w:val="uk-UA"/>
              </w:rPr>
            </w:pPr>
            <w:bookmarkStart w:id="0" w:name="_GoBack"/>
            <w:bookmarkEnd w:id="0"/>
            <w:r w:rsidRPr="00980A32">
              <w:rPr>
                <w:spacing w:val="-8"/>
                <w:sz w:val="28"/>
                <w:szCs w:val="28"/>
                <w:lang w:val="uk-UA"/>
              </w:rPr>
              <w:t>Додаток 2</w:t>
            </w:r>
          </w:p>
          <w:p w:rsidR="00AD5AD5" w:rsidRPr="00980A32" w:rsidRDefault="00D91E1D">
            <w:pPr>
              <w:pBdr>
                <w:top w:val="nil"/>
                <w:left w:val="nil"/>
                <w:bottom w:val="nil"/>
                <w:right w:val="nil"/>
                <w:between w:val="nil"/>
              </w:pBdr>
              <w:spacing w:line="240" w:lineRule="auto"/>
              <w:ind w:left="1" w:hanging="3"/>
              <w:jc w:val="both"/>
              <w:rPr>
                <w:spacing w:val="-8"/>
                <w:sz w:val="28"/>
                <w:szCs w:val="28"/>
                <w:lang w:val="uk-UA"/>
              </w:rPr>
            </w:pPr>
            <w:r w:rsidRPr="00980A32">
              <w:rPr>
                <w:spacing w:val="-8"/>
                <w:sz w:val="28"/>
                <w:szCs w:val="28"/>
                <w:lang w:val="uk-UA"/>
              </w:rPr>
              <w:t>до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w:t>
            </w:r>
          </w:p>
          <w:p w:rsidR="00AD5AD5" w:rsidRPr="00980A32" w:rsidRDefault="00D91E1D" w:rsidP="0079263D">
            <w:pPr>
              <w:ind w:left="1" w:hanging="3"/>
              <w:jc w:val="both"/>
              <w:rPr>
                <w:spacing w:val="-8"/>
                <w:sz w:val="22"/>
                <w:lang w:val="uk-UA"/>
              </w:rPr>
            </w:pPr>
            <w:r w:rsidRPr="00980A32">
              <w:rPr>
                <w:spacing w:val="-8"/>
                <w:sz w:val="28"/>
                <w:szCs w:val="28"/>
                <w:lang w:val="uk-UA"/>
              </w:rPr>
              <w:t xml:space="preserve">(абзац четвертий пункту 1, </w:t>
            </w:r>
            <w:r w:rsidR="008A31CA" w:rsidRPr="00980A32">
              <w:rPr>
                <w:spacing w:val="-8"/>
                <w:sz w:val="28"/>
                <w:szCs w:val="28"/>
                <w:lang w:val="uk-UA"/>
              </w:rPr>
              <w:br/>
            </w:r>
            <w:r w:rsidR="004C4EAA" w:rsidRPr="00980A32">
              <w:rPr>
                <w:spacing w:val="-8"/>
                <w:sz w:val="28"/>
                <w:szCs w:val="28"/>
                <w:lang w:val="uk-UA"/>
              </w:rPr>
              <w:t xml:space="preserve">абзац сьомий </w:t>
            </w:r>
            <w:r w:rsidRPr="00980A32">
              <w:rPr>
                <w:spacing w:val="-8"/>
                <w:sz w:val="28"/>
                <w:szCs w:val="28"/>
                <w:lang w:val="uk-UA"/>
              </w:rPr>
              <w:t>пункт</w:t>
            </w:r>
            <w:r w:rsidR="004C4EAA" w:rsidRPr="00980A32">
              <w:rPr>
                <w:spacing w:val="-8"/>
                <w:sz w:val="28"/>
                <w:szCs w:val="28"/>
                <w:lang w:val="uk-UA"/>
              </w:rPr>
              <w:t>у</w:t>
            </w:r>
            <w:r w:rsidRPr="00980A32">
              <w:rPr>
                <w:spacing w:val="-8"/>
                <w:sz w:val="28"/>
                <w:szCs w:val="28"/>
                <w:lang w:val="uk-UA"/>
              </w:rPr>
              <w:t xml:space="preserve"> </w:t>
            </w:r>
            <w:r w:rsidR="004C4EAA" w:rsidRPr="00980A32">
              <w:rPr>
                <w:spacing w:val="-8"/>
                <w:sz w:val="28"/>
                <w:szCs w:val="28"/>
                <w:lang w:val="uk-UA"/>
              </w:rPr>
              <w:t>5</w:t>
            </w:r>
            <w:r w:rsidRPr="00980A32">
              <w:rPr>
                <w:spacing w:val="-8"/>
                <w:sz w:val="28"/>
                <w:szCs w:val="28"/>
                <w:lang w:val="uk-UA"/>
              </w:rPr>
              <w:t xml:space="preserve"> розділу ІІІ)</w:t>
            </w:r>
          </w:p>
        </w:tc>
      </w:tr>
    </w:tbl>
    <w:p w:rsidR="00AD5AD5" w:rsidRDefault="00AD5AD5">
      <w:pPr>
        <w:ind w:leftChars="0" w:left="0" w:firstLineChars="0" w:firstLine="0"/>
        <w:rPr>
          <w:sz w:val="14"/>
          <w:szCs w:val="22"/>
          <w:lang w:val="uk-UA"/>
        </w:rPr>
      </w:pPr>
    </w:p>
    <w:p w:rsidR="00AD5AD5" w:rsidRDefault="00AD5AD5">
      <w:pPr>
        <w:ind w:leftChars="0" w:left="0" w:firstLineChars="0" w:firstLine="0"/>
        <w:rPr>
          <w:sz w:val="14"/>
          <w:szCs w:val="22"/>
          <w:lang w:val="uk-UA"/>
        </w:rPr>
      </w:pPr>
    </w:p>
    <w:p w:rsidR="00AD5AD5" w:rsidRDefault="00D91E1D">
      <w:pPr>
        <w:pBdr>
          <w:top w:val="nil"/>
          <w:left w:val="nil"/>
          <w:bottom w:val="nil"/>
          <w:right w:val="nil"/>
          <w:between w:val="nil"/>
        </w:pBdr>
        <w:spacing w:line="240" w:lineRule="auto"/>
        <w:ind w:left="1" w:hanging="3"/>
        <w:jc w:val="center"/>
        <w:rPr>
          <w:b/>
          <w:color w:val="000000"/>
          <w:sz w:val="28"/>
          <w:szCs w:val="28"/>
          <w:lang w:val="uk-UA"/>
        </w:rPr>
      </w:pPr>
      <w:r>
        <w:rPr>
          <w:b/>
          <w:color w:val="000000"/>
          <w:sz w:val="28"/>
          <w:szCs w:val="28"/>
          <w:lang w:val="uk-UA"/>
        </w:rPr>
        <w:t xml:space="preserve">Перелік кодів видів сплати, </w:t>
      </w:r>
    </w:p>
    <w:p w:rsidR="00AD5AD5" w:rsidRDefault="00D91E1D">
      <w:pPr>
        <w:pBdr>
          <w:top w:val="nil"/>
          <w:left w:val="nil"/>
          <w:bottom w:val="nil"/>
          <w:right w:val="nil"/>
          <w:between w:val="nil"/>
        </w:pBdr>
        <w:spacing w:line="240" w:lineRule="auto"/>
        <w:ind w:left="1" w:hanging="3"/>
        <w:jc w:val="center"/>
        <w:rPr>
          <w:b/>
          <w:color w:val="000000"/>
          <w:sz w:val="28"/>
          <w:szCs w:val="28"/>
          <w:lang w:val="uk-UA"/>
        </w:rPr>
      </w:pPr>
      <w:r>
        <w:rPr>
          <w:b/>
          <w:color w:val="000000"/>
          <w:sz w:val="28"/>
          <w:szCs w:val="28"/>
          <w:lang w:val="uk-UA"/>
        </w:rPr>
        <w:t xml:space="preserve">які використовуються </w:t>
      </w:r>
      <w:r w:rsidR="003F0F97">
        <w:rPr>
          <w:b/>
          <w:color w:val="000000"/>
          <w:sz w:val="28"/>
          <w:szCs w:val="28"/>
          <w:lang w:val="uk-UA"/>
        </w:rPr>
        <w:t>органами виконавчої влади</w:t>
      </w:r>
    </w:p>
    <w:p w:rsidR="00AD5AD5" w:rsidRDefault="00AD5AD5">
      <w:pPr>
        <w:pBdr>
          <w:top w:val="nil"/>
          <w:left w:val="nil"/>
          <w:bottom w:val="nil"/>
          <w:right w:val="nil"/>
          <w:between w:val="nil"/>
        </w:pBdr>
        <w:spacing w:line="240" w:lineRule="auto"/>
        <w:ind w:left="1" w:hanging="3"/>
        <w:jc w:val="center"/>
        <w:rPr>
          <w:b/>
          <w:color w:val="000000"/>
          <w:sz w:val="28"/>
          <w:szCs w:val="28"/>
          <w:lang w:val="uk-UA"/>
        </w:rPr>
      </w:pPr>
    </w:p>
    <w:p w:rsidR="00AD5AD5" w:rsidRDefault="00AD5AD5">
      <w:pPr>
        <w:pBdr>
          <w:top w:val="nil"/>
          <w:left w:val="nil"/>
          <w:bottom w:val="nil"/>
          <w:right w:val="nil"/>
          <w:between w:val="nil"/>
        </w:pBdr>
        <w:spacing w:line="240" w:lineRule="auto"/>
        <w:ind w:left="1" w:hanging="3"/>
        <w:jc w:val="center"/>
        <w:rPr>
          <w:b/>
          <w:color w:val="000000"/>
          <w:sz w:val="28"/>
          <w:szCs w:val="28"/>
          <w:lang w:val="uk-UA"/>
        </w:rPr>
      </w:pPr>
    </w:p>
    <w:tbl>
      <w:tblPr>
        <w:tblStyle w:val="af6"/>
        <w:tblW w:w="9600"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1268"/>
        <w:gridCol w:w="8332"/>
      </w:tblGrid>
      <w:tr w:rsidR="00AD5AD5" w:rsidTr="00184A2D">
        <w:tc>
          <w:tcPr>
            <w:tcW w:w="1268" w:type="dxa"/>
            <w:tcBorders>
              <w:top w:val="single" w:sz="6" w:space="0" w:color="000000"/>
              <w:left w:val="single" w:sz="6" w:space="0" w:color="000000"/>
              <w:bottom w:val="single" w:sz="6" w:space="0" w:color="000000"/>
              <w:right w:val="single" w:sz="6" w:space="0" w:color="000000"/>
            </w:tcBorders>
          </w:tcPr>
          <w:p w:rsidR="00AD5AD5" w:rsidRDefault="00D91E1D">
            <w:pPr>
              <w:pBdr>
                <w:top w:val="nil"/>
                <w:left w:val="nil"/>
                <w:bottom w:val="nil"/>
                <w:right w:val="nil"/>
                <w:between w:val="nil"/>
              </w:pBdr>
              <w:spacing w:line="240" w:lineRule="auto"/>
              <w:ind w:left="0" w:hanging="2"/>
              <w:jc w:val="center"/>
              <w:rPr>
                <w:color w:val="000000"/>
                <w:lang w:val="uk-UA"/>
              </w:rPr>
            </w:pPr>
            <w:r>
              <w:rPr>
                <w:b/>
                <w:color w:val="000000"/>
                <w:highlight w:val="white"/>
                <w:lang w:val="uk-UA"/>
              </w:rPr>
              <w:t>Код виду сплати</w:t>
            </w:r>
          </w:p>
        </w:tc>
        <w:tc>
          <w:tcPr>
            <w:tcW w:w="8332" w:type="dxa"/>
            <w:tcBorders>
              <w:top w:val="single" w:sz="6" w:space="0" w:color="000000"/>
              <w:left w:val="single" w:sz="6" w:space="0" w:color="000000"/>
              <w:bottom w:val="single" w:sz="6" w:space="0" w:color="000000"/>
              <w:right w:val="single" w:sz="6" w:space="0" w:color="000000"/>
            </w:tcBorders>
          </w:tcPr>
          <w:p w:rsidR="00AD5AD5" w:rsidRDefault="00D91E1D">
            <w:pPr>
              <w:pBdr>
                <w:top w:val="nil"/>
                <w:left w:val="nil"/>
                <w:bottom w:val="nil"/>
                <w:right w:val="nil"/>
                <w:between w:val="nil"/>
              </w:pBdr>
              <w:spacing w:line="240" w:lineRule="auto"/>
              <w:ind w:left="0" w:hanging="2"/>
              <w:jc w:val="center"/>
              <w:rPr>
                <w:color w:val="000000"/>
                <w:highlight w:val="white"/>
                <w:lang w:val="uk-UA"/>
              </w:rPr>
            </w:pPr>
            <w:r>
              <w:rPr>
                <w:b/>
                <w:color w:val="000000"/>
                <w:highlight w:val="white"/>
                <w:lang w:val="uk-UA"/>
              </w:rPr>
              <w:t>Назва коду виду сплати</w:t>
            </w:r>
          </w:p>
        </w:tc>
      </w:tr>
      <w:tr w:rsidR="00CB1DD5" w:rsidRPr="00184A2D">
        <w:tc>
          <w:tcPr>
            <w:tcW w:w="1268" w:type="dxa"/>
            <w:tcBorders>
              <w:top w:val="single" w:sz="6" w:space="0" w:color="000000"/>
              <w:left w:val="single" w:sz="6" w:space="0" w:color="000000"/>
              <w:bottom w:val="single" w:sz="6" w:space="0" w:color="000000"/>
              <w:right w:val="single" w:sz="6" w:space="0" w:color="000000"/>
            </w:tcBorders>
          </w:tcPr>
          <w:p w:rsidR="00CB1DD5" w:rsidRPr="00184A2D" w:rsidRDefault="00CB1DD5" w:rsidP="008073E6">
            <w:pPr>
              <w:pBdr>
                <w:top w:val="nil"/>
                <w:left w:val="nil"/>
                <w:bottom w:val="nil"/>
                <w:right w:val="nil"/>
                <w:between w:val="nil"/>
              </w:pBdr>
              <w:spacing w:line="240" w:lineRule="auto"/>
              <w:ind w:left="0" w:hanging="2"/>
              <w:jc w:val="center"/>
              <w:rPr>
                <w:color w:val="000000"/>
                <w:lang w:val="uk-UA"/>
              </w:rPr>
            </w:pPr>
            <w:r w:rsidRPr="00184A2D">
              <w:rPr>
                <w:color w:val="000000"/>
                <w:lang w:val="uk-UA"/>
              </w:rPr>
              <w:t>01С</w:t>
            </w:r>
          </w:p>
        </w:tc>
        <w:tc>
          <w:tcPr>
            <w:tcW w:w="8332" w:type="dxa"/>
            <w:tcBorders>
              <w:top w:val="single" w:sz="6" w:space="0" w:color="000000"/>
              <w:left w:val="single" w:sz="6" w:space="0" w:color="000000"/>
              <w:bottom w:val="single" w:sz="6" w:space="0" w:color="000000"/>
              <w:right w:val="single" w:sz="6" w:space="0" w:color="000000"/>
            </w:tcBorders>
          </w:tcPr>
          <w:p w:rsidR="00CB1DD5" w:rsidRPr="00184A2D" w:rsidRDefault="00CB1DD5" w:rsidP="008073E6">
            <w:pPr>
              <w:pBdr>
                <w:top w:val="nil"/>
                <w:left w:val="nil"/>
                <w:bottom w:val="nil"/>
                <w:right w:val="nil"/>
                <w:between w:val="nil"/>
              </w:pBdr>
              <w:spacing w:line="240" w:lineRule="auto"/>
              <w:ind w:left="0" w:hanging="2"/>
              <w:jc w:val="both"/>
              <w:rPr>
                <w:lang w:val="uk-UA"/>
              </w:rPr>
            </w:pPr>
            <w:r w:rsidRPr="00184A2D">
              <w:rPr>
                <w:lang w:val="uk-UA"/>
              </w:rPr>
              <w:t>Надходження коштів у рахунок погашення зафіксованого боргу платника, щодо якого відкрито провадження у справі про банкрутство</w:t>
            </w:r>
          </w:p>
        </w:tc>
      </w:tr>
      <w:tr w:rsidR="00CB1DD5" w:rsidRPr="00184A2D" w:rsidTr="008073E6">
        <w:tc>
          <w:tcPr>
            <w:tcW w:w="1268" w:type="dxa"/>
            <w:tcBorders>
              <w:top w:val="single" w:sz="4" w:space="0" w:color="auto"/>
              <w:left w:val="single" w:sz="4" w:space="0" w:color="auto"/>
              <w:bottom w:val="single" w:sz="4" w:space="0" w:color="auto"/>
              <w:right w:val="single" w:sz="4" w:space="0" w:color="auto"/>
            </w:tcBorders>
            <w:vAlign w:val="center"/>
          </w:tcPr>
          <w:p w:rsidR="00CB1DD5" w:rsidRPr="00184A2D" w:rsidRDefault="00CB1DD5" w:rsidP="008073E6">
            <w:pPr>
              <w:spacing w:line="240" w:lineRule="auto"/>
              <w:ind w:left="0" w:hanging="2"/>
              <w:jc w:val="center"/>
              <w:rPr>
                <w:color w:val="000000"/>
                <w:lang w:val="uk-UA"/>
              </w:rPr>
            </w:pPr>
            <w:r w:rsidRPr="00184A2D">
              <w:rPr>
                <w:color w:val="000000"/>
                <w:lang w:val="uk-UA"/>
              </w:rPr>
              <w:t>09Ї</w:t>
            </w:r>
          </w:p>
        </w:tc>
        <w:tc>
          <w:tcPr>
            <w:tcW w:w="8332" w:type="dxa"/>
            <w:tcBorders>
              <w:top w:val="single" w:sz="4" w:space="0" w:color="auto"/>
              <w:left w:val="single" w:sz="4" w:space="0" w:color="auto"/>
              <w:bottom w:val="single" w:sz="4" w:space="0" w:color="auto"/>
              <w:right w:val="single" w:sz="4" w:space="0" w:color="auto"/>
            </w:tcBorders>
            <w:vAlign w:val="bottom"/>
          </w:tcPr>
          <w:p w:rsidR="00CB1DD5" w:rsidRPr="00184A2D" w:rsidRDefault="00CB1DD5" w:rsidP="00CB1DD5">
            <w:pPr>
              <w:spacing w:line="240" w:lineRule="auto"/>
              <w:ind w:left="0" w:hanging="2"/>
              <w:jc w:val="both"/>
              <w:rPr>
                <w:color w:val="000000"/>
                <w:lang w:val="uk-UA"/>
              </w:rPr>
            </w:pPr>
            <w:r w:rsidRPr="00184A2D">
              <w:rPr>
                <w:color w:val="000000"/>
                <w:lang w:val="uk-UA"/>
              </w:rPr>
              <w:t>Відшкодовано ПДВ на рахунок платника за рішенням суду</w:t>
            </w:r>
          </w:p>
        </w:tc>
      </w:tr>
      <w:tr w:rsidR="00184A2D" w:rsidRPr="00184A2D" w:rsidTr="008073E6">
        <w:tc>
          <w:tcPr>
            <w:tcW w:w="1268" w:type="dxa"/>
            <w:tcBorders>
              <w:top w:val="single" w:sz="4" w:space="0" w:color="auto"/>
              <w:left w:val="single" w:sz="4" w:space="0" w:color="auto"/>
              <w:bottom w:val="single" w:sz="4" w:space="0" w:color="auto"/>
              <w:right w:val="single" w:sz="4" w:space="0" w:color="auto"/>
            </w:tcBorders>
            <w:vAlign w:val="center"/>
          </w:tcPr>
          <w:p w:rsidR="00184A2D" w:rsidRPr="00184A2D" w:rsidRDefault="00184A2D" w:rsidP="008073E6">
            <w:pPr>
              <w:spacing w:line="240" w:lineRule="auto"/>
              <w:ind w:left="0" w:hanging="2"/>
              <w:jc w:val="center"/>
              <w:rPr>
                <w:color w:val="000000"/>
                <w:lang w:val="uk-UA"/>
              </w:rPr>
            </w:pPr>
            <w:r w:rsidRPr="00184A2D">
              <w:rPr>
                <w:color w:val="000000"/>
                <w:lang w:val="uk-UA"/>
              </w:rPr>
              <w:t>09Р</w:t>
            </w:r>
          </w:p>
        </w:tc>
        <w:tc>
          <w:tcPr>
            <w:tcW w:w="8332" w:type="dxa"/>
            <w:tcBorders>
              <w:top w:val="single" w:sz="4" w:space="0" w:color="auto"/>
              <w:left w:val="single" w:sz="4" w:space="0" w:color="auto"/>
              <w:bottom w:val="single" w:sz="4" w:space="0" w:color="auto"/>
              <w:right w:val="single" w:sz="4" w:space="0" w:color="auto"/>
            </w:tcBorders>
            <w:vAlign w:val="bottom"/>
          </w:tcPr>
          <w:p w:rsidR="00184A2D" w:rsidRPr="00980A32" w:rsidRDefault="00184A2D" w:rsidP="00CB1DD5">
            <w:pPr>
              <w:spacing w:line="240" w:lineRule="auto"/>
              <w:ind w:left="0" w:hanging="2"/>
              <w:jc w:val="both"/>
              <w:rPr>
                <w:lang w:val="uk-UA"/>
              </w:rPr>
            </w:pPr>
            <w:r w:rsidRPr="00980A32">
              <w:rPr>
                <w:lang w:val="uk-UA"/>
              </w:rPr>
              <w:t>Відшкодовано пені з ПДВ за рішенням суду</w:t>
            </w:r>
          </w:p>
        </w:tc>
      </w:tr>
      <w:tr w:rsidR="00CB1DD5" w:rsidRPr="00184A2D" w:rsidTr="007F4161">
        <w:tc>
          <w:tcPr>
            <w:tcW w:w="1268" w:type="dxa"/>
            <w:tcBorders>
              <w:top w:val="single" w:sz="6" w:space="0" w:color="000000"/>
              <w:left w:val="single" w:sz="6" w:space="0" w:color="000000"/>
              <w:bottom w:val="single" w:sz="6" w:space="0" w:color="000000"/>
              <w:right w:val="single" w:sz="6" w:space="0" w:color="000000"/>
            </w:tcBorders>
            <w:vAlign w:val="center"/>
          </w:tcPr>
          <w:p w:rsidR="00CB1DD5" w:rsidRPr="00184A2D" w:rsidRDefault="00CB1DD5" w:rsidP="008073E6">
            <w:pPr>
              <w:spacing w:line="240" w:lineRule="auto"/>
              <w:ind w:left="0" w:hanging="2"/>
              <w:jc w:val="center"/>
              <w:rPr>
                <w:color w:val="000000"/>
                <w:lang w:val="uk-UA"/>
              </w:rPr>
            </w:pPr>
            <w:r w:rsidRPr="00184A2D">
              <w:rPr>
                <w:color w:val="000000"/>
                <w:lang w:val="uk-UA"/>
              </w:rPr>
              <w:t>10К</w:t>
            </w:r>
          </w:p>
        </w:tc>
        <w:tc>
          <w:tcPr>
            <w:tcW w:w="8332" w:type="dxa"/>
            <w:tcBorders>
              <w:top w:val="single" w:sz="6" w:space="0" w:color="000000"/>
              <w:left w:val="single" w:sz="6" w:space="0" w:color="000000"/>
              <w:bottom w:val="single" w:sz="6" w:space="0" w:color="000000"/>
              <w:right w:val="single" w:sz="6" w:space="0" w:color="000000"/>
            </w:tcBorders>
            <w:vAlign w:val="bottom"/>
          </w:tcPr>
          <w:p w:rsidR="00CB1DD5" w:rsidRPr="00980A32" w:rsidRDefault="00CB1DD5" w:rsidP="00CB1DD5">
            <w:pPr>
              <w:spacing w:line="240" w:lineRule="auto"/>
              <w:ind w:left="0" w:hanging="2"/>
              <w:jc w:val="both"/>
              <w:rPr>
                <w:lang w:val="uk-UA"/>
              </w:rPr>
            </w:pPr>
            <w:r w:rsidRPr="00980A32">
              <w:rPr>
                <w:lang w:val="uk-UA"/>
              </w:rPr>
              <w:t xml:space="preserve">Відшкодовано  ПДВ у </w:t>
            </w:r>
            <w:r w:rsidR="008A31CA" w:rsidRPr="00980A32">
              <w:rPr>
                <w:lang w:val="uk-UA"/>
              </w:rPr>
              <w:t>рахунок сплати грошових зобов’</w:t>
            </w:r>
            <w:r w:rsidRPr="00980A32">
              <w:rPr>
                <w:lang w:val="uk-UA"/>
              </w:rPr>
              <w:t>язань або погашення податкового боргу з інших платежів за рішенням суду</w:t>
            </w:r>
          </w:p>
        </w:tc>
      </w:tr>
      <w:tr w:rsidR="00CB1DD5" w:rsidRPr="00184A2D" w:rsidTr="007F4161">
        <w:tc>
          <w:tcPr>
            <w:tcW w:w="1268" w:type="dxa"/>
            <w:tcBorders>
              <w:top w:val="single" w:sz="6" w:space="0" w:color="000000"/>
              <w:left w:val="single" w:sz="6" w:space="0" w:color="000000"/>
              <w:bottom w:val="single" w:sz="6" w:space="0" w:color="000000"/>
              <w:right w:val="single" w:sz="6" w:space="0" w:color="000000"/>
            </w:tcBorders>
            <w:vAlign w:val="center"/>
          </w:tcPr>
          <w:p w:rsidR="00CB1DD5" w:rsidRPr="00184A2D" w:rsidRDefault="00CB1DD5" w:rsidP="008073E6">
            <w:pPr>
              <w:spacing w:line="240" w:lineRule="auto"/>
              <w:ind w:left="0" w:hanging="2"/>
              <w:jc w:val="center"/>
              <w:rPr>
                <w:color w:val="000000"/>
                <w:lang w:val="uk-UA"/>
              </w:rPr>
            </w:pPr>
            <w:r w:rsidRPr="00184A2D">
              <w:rPr>
                <w:color w:val="000000"/>
                <w:lang w:val="uk-UA"/>
              </w:rPr>
              <w:t>10С</w:t>
            </w:r>
          </w:p>
        </w:tc>
        <w:tc>
          <w:tcPr>
            <w:tcW w:w="8332" w:type="dxa"/>
            <w:tcBorders>
              <w:top w:val="single" w:sz="6" w:space="0" w:color="000000"/>
              <w:left w:val="single" w:sz="6" w:space="0" w:color="000000"/>
              <w:bottom w:val="single" w:sz="6" w:space="0" w:color="000000"/>
              <w:right w:val="single" w:sz="6" w:space="0" w:color="000000"/>
            </w:tcBorders>
            <w:vAlign w:val="bottom"/>
          </w:tcPr>
          <w:p w:rsidR="00CB1DD5" w:rsidRPr="00184A2D" w:rsidRDefault="00CB1DD5" w:rsidP="00CB1DD5">
            <w:pPr>
              <w:spacing w:line="240" w:lineRule="auto"/>
              <w:ind w:left="0" w:hanging="2"/>
              <w:jc w:val="both"/>
              <w:rPr>
                <w:color w:val="000000"/>
                <w:lang w:val="uk-UA"/>
              </w:rPr>
            </w:pPr>
            <w:r w:rsidRPr="00184A2D">
              <w:rPr>
                <w:color w:val="000000"/>
                <w:lang w:val="uk-UA"/>
              </w:rPr>
              <w:t>Повернення на електронний рахунок платника сум ПДВ</w:t>
            </w:r>
          </w:p>
        </w:tc>
      </w:tr>
      <w:tr w:rsidR="00314859" w:rsidRPr="00980A32" w:rsidTr="00E141AA">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spacing w:line="240" w:lineRule="auto"/>
              <w:ind w:left="0" w:hanging="2"/>
              <w:jc w:val="center"/>
              <w:rPr>
                <w:color w:val="000000"/>
                <w:lang w:val="uk-UA"/>
              </w:rPr>
            </w:pPr>
            <w:r w:rsidRPr="00184A2D">
              <w:rPr>
                <w:lang w:val="uk-UA" w:eastAsia="uk-UA"/>
              </w:rPr>
              <w:t>051</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spacing w:line="240" w:lineRule="auto"/>
              <w:ind w:left="0" w:hanging="2"/>
              <w:jc w:val="both"/>
              <w:rPr>
                <w:color w:val="000000"/>
                <w:lang w:val="uk-UA"/>
              </w:rPr>
            </w:pPr>
            <w:r w:rsidRPr="00184A2D">
              <w:rPr>
                <w:lang w:val="uk-UA" w:eastAsia="uk-UA"/>
              </w:rPr>
              <w:t>Надходження до бюджету коштів від реалізації товарів, транспортних засобів, зазначених у пункті 3 статті 461 Митного кодексу України, конфіскованих за рішенням суду, товарів, вилучених у рахунок забезпечення стягнення вартості цих товарів</w:t>
            </w:r>
          </w:p>
        </w:tc>
      </w:tr>
      <w:tr w:rsidR="00314859" w:rsidRPr="00184A2D" w:rsidTr="00E141AA">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spacing w:line="240" w:lineRule="auto"/>
              <w:ind w:left="0" w:hanging="2"/>
              <w:jc w:val="center"/>
              <w:rPr>
                <w:color w:val="000000"/>
                <w:lang w:val="uk-UA"/>
              </w:rPr>
            </w:pPr>
            <w:r w:rsidRPr="00184A2D">
              <w:rPr>
                <w:lang w:val="uk-UA" w:eastAsia="uk-UA"/>
              </w:rPr>
              <w:t>055</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spacing w:line="240" w:lineRule="auto"/>
              <w:ind w:left="0" w:hanging="2"/>
              <w:jc w:val="both"/>
              <w:rPr>
                <w:color w:val="000000"/>
                <w:lang w:val="uk-UA"/>
              </w:rPr>
            </w:pPr>
            <w:r w:rsidRPr="00184A2D">
              <w:rPr>
                <w:lang w:val="uk-UA" w:eastAsia="uk-UA"/>
              </w:rPr>
              <w:t>Надходження до бюджету коштів від реалізації товарів, поміщених у режим відмови на користь держави</w:t>
            </w:r>
          </w:p>
        </w:tc>
      </w:tr>
      <w:tr w:rsidR="00314859" w:rsidRPr="00980A32"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058</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b/>
                <w:lang w:val="uk-UA"/>
              </w:rPr>
            </w:pPr>
            <w:r w:rsidRPr="00184A2D">
              <w:rPr>
                <w:lang w:val="uk-UA"/>
              </w:rPr>
              <w:t>Проведення взаєморозрахунків з погашення податкового боргу (у тому числі штрафних санкцій, пені), грошових зобов’язань та/або розстрочених (відстрочених) сум грошових зобов’язань або податкового боргу</w:t>
            </w:r>
          </w:p>
        </w:tc>
      </w:tr>
      <w:tr w:rsidR="00314859" w:rsidRPr="00980A32" w:rsidTr="008073E6">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lang w:val="uk-UA" w:eastAsia="uk-UA"/>
              </w:rPr>
              <w:t>059</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eastAsia="uk-UA"/>
              </w:rPr>
              <w:t>Надходження до бюджету коштів від реалізації товарів,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w:t>
            </w:r>
          </w:p>
        </w:tc>
      </w:tr>
      <w:tr w:rsidR="00314859" w:rsidRPr="00184A2D" w:rsidTr="008073E6">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lang w:val="uk-UA" w:eastAsia="uk-UA"/>
              </w:rPr>
              <w:t>079</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eastAsia="uk-UA"/>
              </w:rPr>
              <w:t>Надходження до бюджету коштів від реалізації товарів, транспортних засобів комерційного призначення, що зберігаються на складах митних органів, за якими власник або уповноважена ним особа не звернулися до закінчення строків зберігання, встановлених Митним кодексом України</w:t>
            </w:r>
          </w:p>
        </w:tc>
      </w:tr>
      <w:tr w:rsidR="00314859" w:rsidRPr="00184A2D"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107</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 xml:space="preserve">Повернення сум </w:t>
            </w:r>
            <w:r w:rsidR="00184A2D" w:rsidRPr="00184A2D">
              <w:rPr>
                <w:lang w:val="uk-UA"/>
              </w:rPr>
              <w:t>податків</w:t>
            </w:r>
            <w:r w:rsidRPr="00184A2D">
              <w:rPr>
                <w:lang w:val="uk-UA"/>
              </w:rPr>
              <w:t xml:space="preserve"> i </w:t>
            </w:r>
            <w:r w:rsidR="00184A2D" w:rsidRPr="00184A2D">
              <w:rPr>
                <w:lang w:val="uk-UA"/>
              </w:rPr>
              <w:t>зборів</w:t>
            </w:r>
            <w:r w:rsidRPr="00184A2D">
              <w:rPr>
                <w:lang w:val="uk-UA"/>
              </w:rPr>
              <w:t xml:space="preserve">, помилково або </w:t>
            </w:r>
            <w:r w:rsidR="00184A2D" w:rsidRPr="00184A2D">
              <w:rPr>
                <w:lang w:val="uk-UA"/>
              </w:rPr>
              <w:t>надміру</w:t>
            </w:r>
            <w:r w:rsidRPr="00184A2D">
              <w:rPr>
                <w:lang w:val="uk-UA"/>
              </w:rPr>
              <w:t xml:space="preserve"> зарахованих до бюджету/фондів / повернення коштів єдиного внеску з небюджетного рахунку </w:t>
            </w:r>
            <w:r w:rsidRPr="00184A2D">
              <w:rPr>
                <w:lang w:val="uk-UA"/>
              </w:rPr>
              <w:lastRenderedPageBreak/>
              <w:t>на рахунок платника, відкритий у надавача платіжних послуг</w:t>
            </w:r>
          </w:p>
        </w:tc>
      </w:tr>
      <w:tr w:rsidR="00314859" w:rsidRPr="00980A32"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lastRenderedPageBreak/>
              <w:t>108</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Перерахування коштів з бюджетного/небюджетного рахунку на інший /</w:t>
            </w:r>
            <w:r w:rsidRPr="00184A2D">
              <w:rPr>
                <w:b/>
                <w:i/>
                <w:lang w:val="uk-UA"/>
              </w:rPr>
              <w:t xml:space="preserve"> </w:t>
            </w:r>
            <w:r w:rsidRPr="00184A2D">
              <w:rPr>
                <w:lang w:val="uk-UA"/>
              </w:rPr>
              <w:t>перерахування коштів єдиного внеску з одного небюджетного рахунку на інший небюджетний рахунок (крім здійснення ДПС підкріплення коштами небюджетного рахунку територіального органу ДПС та крім повернення єдиного внеску на єдиний  рахунок)</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vAlign w:val="center"/>
          </w:tcPr>
          <w:p w:rsidR="00314859" w:rsidRPr="00184A2D" w:rsidRDefault="00314859" w:rsidP="00184A2D">
            <w:pPr>
              <w:spacing w:line="240" w:lineRule="auto"/>
              <w:ind w:left="0" w:hanging="2"/>
              <w:jc w:val="center"/>
              <w:rPr>
                <w:color w:val="000000"/>
                <w:lang w:val="uk-UA"/>
              </w:rPr>
            </w:pPr>
            <w:r w:rsidRPr="00184A2D">
              <w:rPr>
                <w:color w:val="000000"/>
                <w:lang w:val="uk-UA"/>
              </w:rPr>
              <w:t>110</w:t>
            </w:r>
          </w:p>
        </w:tc>
        <w:tc>
          <w:tcPr>
            <w:tcW w:w="8332" w:type="dxa"/>
            <w:tcBorders>
              <w:top w:val="single" w:sz="4" w:space="0" w:color="auto"/>
              <w:left w:val="single" w:sz="4" w:space="0" w:color="auto"/>
              <w:bottom w:val="single" w:sz="4" w:space="0" w:color="auto"/>
              <w:right w:val="single" w:sz="4" w:space="0" w:color="auto"/>
            </w:tcBorders>
            <w:vAlign w:val="bottom"/>
          </w:tcPr>
          <w:p w:rsidR="00314859" w:rsidRPr="00184A2D" w:rsidRDefault="00314859" w:rsidP="00184A2D">
            <w:pPr>
              <w:spacing w:line="240" w:lineRule="auto"/>
              <w:ind w:left="0" w:hanging="2"/>
              <w:jc w:val="both"/>
              <w:rPr>
                <w:color w:val="000000"/>
                <w:lang w:val="uk-UA"/>
              </w:rPr>
            </w:pPr>
            <w:r w:rsidRPr="00184A2D">
              <w:rPr>
                <w:color w:val="000000"/>
                <w:lang w:val="uk-UA"/>
              </w:rPr>
              <w:t>Відшкодовано  ПДВ на рахунок платника</w:t>
            </w:r>
          </w:p>
        </w:tc>
      </w:tr>
      <w:tr w:rsidR="00314859" w:rsidRPr="00184A2D"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129</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 xml:space="preserve">Повернення надміру утриманих (сплачених) сум податку з доходів фізичних осіб, які розраховуються територіальними органами ДПС на підставі поданої платником податків податкової декларації за звітний календарний рік  </w:t>
            </w:r>
          </w:p>
        </w:tc>
      </w:tr>
      <w:tr w:rsidR="00314859" w:rsidRPr="00184A2D"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141</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Стягнення до бюджету коштів у рахунок погашення податкового боргу з рахунків</w:t>
            </w:r>
            <w:r w:rsidR="008A31CA">
              <w:rPr>
                <w:lang w:val="uk-UA"/>
              </w:rPr>
              <w:t xml:space="preserve"> </w:t>
            </w:r>
            <w:r w:rsidRPr="00184A2D">
              <w:rPr>
                <w:lang w:val="uk-UA"/>
              </w:rPr>
              <w:t>/</w:t>
            </w:r>
            <w:r w:rsidR="008A31CA">
              <w:rPr>
                <w:lang w:val="uk-UA"/>
              </w:rPr>
              <w:t xml:space="preserve"> </w:t>
            </w:r>
            <w:r w:rsidRPr="00184A2D">
              <w:rPr>
                <w:lang w:val="uk-UA"/>
              </w:rPr>
              <w:t>електронних гаманців, відкритих у надавача платіжних послуг</w:t>
            </w:r>
          </w:p>
        </w:tc>
      </w:tr>
      <w:tr w:rsidR="00314859" w:rsidRPr="00184A2D"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142</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Стягнення готівки в рахунок погашення податкового боргу</w:t>
            </w:r>
          </w:p>
        </w:tc>
      </w:tr>
      <w:tr w:rsidR="00314859" w:rsidRPr="00184A2D" w:rsidTr="00184A2D">
        <w:tc>
          <w:tcPr>
            <w:tcW w:w="1268" w:type="dxa"/>
            <w:tcBorders>
              <w:top w:val="single" w:sz="6" w:space="0" w:color="000000"/>
              <w:left w:val="single" w:sz="6" w:space="0" w:color="000000"/>
              <w:bottom w:val="single" w:sz="4" w:space="0" w:color="auto"/>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143</w:t>
            </w:r>
          </w:p>
        </w:tc>
        <w:tc>
          <w:tcPr>
            <w:tcW w:w="8332" w:type="dxa"/>
            <w:tcBorders>
              <w:top w:val="single" w:sz="6" w:space="0" w:color="000000"/>
              <w:left w:val="single" w:sz="6" w:space="0" w:color="000000"/>
              <w:bottom w:val="single" w:sz="4" w:space="0" w:color="auto"/>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Надходження до бюджету коштів у рахунок погашення податкового боргу за рахунок реалізації майна, що перебуває у податковій заставі</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144</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Надходження до бюджету коштів у рахунок погашення податкового боргу за рахунок інших джерел</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147</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Стягнення в межах виконавчого провадження</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148</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від погашення податкового боргу в міжнародних правовідносинах</w:t>
            </w:r>
          </w:p>
        </w:tc>
      </w:tr>
      <w:tr w:rsidR="00314859" w:rsidRPr="00980A32"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149</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від реалізації безхазяйного майна, знахідок, спадкового майна, валютних цінностей і грошових коштів, власники яких невідомі, а також скарбів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240</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з рахунку в системі електронного адміністрування реалізації пального та спирту етилового</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242</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з рахунку в системі електронного адміністрування ПДВ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248</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Відшкодовано ПДВ у рахунок сплати грошових зобов’язань або погашення податкового боргу з інших платежів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258</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Стягнення податкового боргу з ПДВ за рішенням суду в системі електронного адміністрування ПДВ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351</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lang w:val="uk-UA"/>
              </w:rPr>
              <w:t>Перерахування до бюджету суми митних та інших платежів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eastAsia="uk-UA"/>
              </w:rPr>
              <w:t>352</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eastAsia="uk-UA"/>
              </w:rPr>
              <w:t>Повернення коштів авансових платежів (передоплати) та грошової застави</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eastAsia="uk-UA"/>
              </w:rPr>
              <w:t>353</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eastAsia="uk-UA"/>
              </w:rPr>
              <w:t>Повернення помилково та/або надміру сплачених сум митних, інших платежів та пені, зарахованих до бюджету</w:t>
            </w:r>
          </w:p>
        </w:tc>
      </w:tr>
      <w:tr w:rsidR="00B81226" w:rsidRPr="00980A32">
        <w:tc>
          <w:tcPr>
            <w:tcW w:w="1268" w:type="dxa"/>
            <w:tcBorders>
              <w:top w:val="single" w:sz="4" w:space="0" w:color="auto"/>
              <w:left w:val="single" w:sz="4" w:space="0" w:color="auto"/>
              <w:bottom w:val="single" w:sz="4" w:space="0" w:color="auto"/>
              <w:right w:val="single" w:sz="4" w:space="0" w:color="auto"/>
            </w:tcBorders>
          </w:tcPr>
          <w:p w:rsidR="00B81226" w:rsidRPr="00184A2D" w:rsidRDefault="00B81226" w:rsidP="00B81226">
            <w:pPr>
              <w:pBdr>
                <w:top w:val="nil"/>
                <w:left w:val="nil"/>
                <w:bottom w:val="nil"/>
                <w:right w:val="nil"/>
                <w:between w:val="nil"/>
              </w:pBdr>
              <w:spacing w:line="240" w:lineRule="auto"/>
              <w:ind w:left="0" w:hanging="2"/>
              <w:jc w:val="center"/>
              <w:rPr>
                <w:color w:val="000000"/>
                <w:lang w:val="uk-UA" w:eastAsia="uk-UA"/>
              </w:rPr>
            </w:pPr>
            <w:r w:rsidRPr="00184A2D">
              <w:rPr>
                <w:lang w:val="uk-UA"/>
              </w:rPr>
              <w:t>359</w:t>
            </w:r>
          </w:p>
        </w:tc>
        <w:tc>
          <w:tcPr>
            <w:tcW w:w="8332" w:type="dxa"/>
            <w:tcBorders>
              <w:top w:val="single" w:sz="4" w:space="0" w:color="auto"/>
              <w:left w:val="single" w:sz="4" w:space="0" w:color="auto"/>
              <w:bottom w:val="single" w:sz="4" w:space="0" w:color="auto"/>
              <w:right w:val="single" w:sz="4" w:space="0" w:color="auto"/>
            </w:tcBorders>
          </w:tcPr>
          <w:p w:rsidR="00B81226" w:rsidRPr="00184A2D" w:rsidRDefault="00B81226" w:rsidP="00B81226">
            <w:pPr>
              <w:pBdr>
                <w:top w:val="nil"/>
                <w:left w:val="nil"/>
                <w:bottom w:val="nil"/>
                <w:right w:val="nil"/>
                <w:between w:val="nil"/>
              </w:pBdr>
              <w:spacing w:line="240" w:lineRule="auto"/>
              <w:ind w:left="0" w:hanging="2"/>
              <w:jc w:val="both"/>
              <w:rPr>
                <w:color w:val="000000"/>
                <w:lang w:val="uk-UA" w:eastAsia="uk-UA"/>
              </w:rPr>
            </w:pPr>
            <w:r w:rsidRPr="00184A2D">
              <w:rPr>
                <w:color w:val="000000"/>
                <w:lang w:val="uk-UA" w:eastAsia="uk-UA"/>
              </w:rPr>
              <w:t>Перерахування коштів від реалізації товарів, вилучених для забезпечення стягнення штрафу</w:t>
            </w:r>
          </w:p>
        </w:tc>
      </w:tr>
      <w:tr w:rsidR="00B81226" w:rsidRPr="00184A2D" w:rsidTr="001116D2">
        <w:tc>
          <w:tcPr>
            <w:tcW w:w="1268" w:type="dxa"/>
            <w:tcBorders>
              <w:top w:val="single" w:sz="4" w:space="0" w:color="auto"/>
              <w:left w:val="single" w:sz="4" w:space="0" w:color="auto"/>
              <w:bottom w:val="single" w:sz="4" w:space="0" w:color="auto"/>
              <w:right w:val="single" w:sz="4" w:space="0" w:color="auto"/>
            </w:tcBorders>
            <w:vAlign w:val="center"/>
          </w:tcPr>
          <w:p w:rsidR="00B81226" w:rsidRPr="00184A2D" w:rsidRDefault="00B81226" w:rsidP="00B81226">
            <w:pPr>
              <w:spacing w:line="240" w:lineRule="auto"/>
              <w:ind w:left="0" w:hanging="2"/>
              <w:jc w:val="center"/>
              <w:rPr>
                <w:color w:val="000000"/>
                <w:lang w:val="uk-UA"/>
              </w:rPr>
            </w:pPr>
            <w:r w:rsidRPr="00184A2D">
              <w:rPr>
                <w:color w:val="000000"/>
                <w:lang w:val="uk-UA"/>
              </w:rPr>
              <w:t>420</w:t>
            </w:r>
          </w:p>
        </w:tc>
        <w:tc>
          <w:tcPr>
            <w:tcW w:w="8332" w:type="dxa"/>
            <w:tcBorders>
              <w:top w:val="single" w:sz="4" w:space="0" w:color="auto"/>
              <w:left w:val="single" w:sz="4" w:space="0" w:color="auto"/>
              <w:bottom w:val="single" w:sz="4" w:space="0" w:color="auto"/>
              <w:right w:val="single" w:sz="4" w:space="0" w:color="auto"/>
            </w:tcBorders>
            <w:vAlign w:val="bottom"/>
          </w:tcPr>
          <w:p w:rsidR="00B81226" w:rsidRPr="00184A2D" w:rsidRDefault="00B81226" w:rsidP="00B81226">
            <w:pPr>
              <w:spacing w:line="240" w:lineRule="auto"/>
              <w:ind w:left="0" w:hanging="2"/>
              <w:jc w:val="both"/>
              <w:rPr>
                <w:color w:val="000000"/>
                <w:lang w:val="uk-UA"/>
              </w:rPr>
            </w:pPr>
            <w:r w:rsidRPr="00184A2D">
              <w:rPr>
                <w:color w:val="000000"/>
                <w:lang w:val="uk-UA"/>
              </w:rPr>
              <w:t xml:space="preserve">Зараховано суму бюджетного відшкодування  ПДВ </w:t>
            </w:r>
            <w:r w:rsidR="008A31CA">
              <w:rPr>
                <w:color w:val="000000"/>
                <w:lang w:val="uk-UA"/>
              </w:rPr>
              <w:t xml:space="preserve">у рахунок сплати грошових </w:t>
            </w:r>
            <w:r w:rsidR="008A31CA" w:rsidRPr="00F81DCD">
              <w:rPr>
                <w:lang w:val="uk-UA"/>
              </w:rPr>
              <w:t>зобов’</w:t>
            </w:r>
            <w:r w:rsidRPr="00F81DCD">
              <w:rPr>
                <w:lang w:val="uk-UA"/>
              </w:rPr>
              <w:t xml:space="preserve">язань </w:t>
            </w:r>
            <w:r w:rsidRPr="00184A2D">
              <w:rPr>
                <w:color w:val="000000"/>
                <w:lang w:val="uk-UA"/>
              </w:rPr>
              <w:t>або погашення податкового боргу з інших платежів</w:t>
            </w:r>
          </w:p>
        </w:tc>
      </w:tr>
    </w:tbl>
    <w:p w:rsidR="00AD5AD5" w:rsidRPr="00184A2D" w:rsidRDefault="00AD5AD5" w:rsidP="00184A2D">
      <w:pPr>
        <w:pBdr>
          <w:top w:val="nil"/>
          <w:left w:val="nil"/>
          <w:bottom w:val="nil"/>
          <w:right w:val="nil"/>
          <w:between w:val="nil"/>
        </w:pBdr>
        <w:spacing w:line="240" w:lineRule="auto"/>
        <w:ind w:left="0" w:hanging="2"/>
        <w:jc w:val="center"/>
        <w:rPr>
          <w:color w:val="000000"/>
          <w:lang w:val="uk-UA"/>
        </w:rPr>
      </w:pPr>
    </w:p>
    <w:p w:rsidR="00AD5AD5" w:rsidRDefault="00D91E1D">
      <w:pPr>
        <w:pBdr>
          <w:top w:val="nil"/>
          <w:left w:val="nil"/>
          <w:bottom w:val="nil"/>
          <w:right w:val="nil"/>
          <w:between w:val="nil"/>
        </w:pBdr>
        <w:spacing w:before="280" w:line="240" w:lineRule="auto"/>
        <w:ind w:leftChars="0" w:left="0" w:firstLineChars="0" w:firstLine="0"/>
        <w:jc w:val="center"/>
        <w:rPr>
          <w:color w:val="000000"/>
          <w:lang w:val="uk-UA"/>
        </w:rPr>
      </w:pPr>
      <w:r w:rsidRPr="00184A2D">
        <w:rPr>
          <w:color w:val="000000"/>
          <w:lang w:val="uk-UA"/>
        </w:rPr>
        <w:t>___</w:t>
      </w:r>
      <w:r>
        <w:rPr>
          <w:color w:val="000000"/>
          <w:lang w:val="uk-UA"/>
        </w:rPr>
        <w:t>___________________</w:t>
      </w:r>
    </w:p>
    <w:sectPr w:rsidR="00AD5AD5" w:rsidSect="00115F8E">
      <w:headerReference w:type="even" r:id="rId7"/>
      <w:headerReference w:type="default" r:id="rId8"/>
      <w:footerReference w:type="even" r:id="rId9"/>
      <w:footerReference w:type="default" r:id="rId10"/>
      <w:headerReference w:type="first" r:id="rId11"/>
      <w:footerReference w:type="first" r:id="rId12"/>
      <w:pgSz w:w="11906" w:h="16838"/>
      <w:pgMar w:top="568" w:right="567" w:bottom="1588" w:left="1701" w:header="426"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BE0" w:rsidRDefault="007A2BE0">
      <w:pPr>
        <w:spacing w:line="240" w:lineRule="auto"/>
        <w:ind w:left="0" w:hanging="2"/>
      </w:pPr>
      <w:r>
        <w:separator/>
      </w:r>
    </w:p>
  </w:endnote>
  <w:endnote w:type="continuationSeparator" w:id="0">
    <w:p w:rsidR="007A2BE0" w:rsidRDefault="007A2BE0">
      <w:pPr>
        <w:spacing w:line="240" w:lineRule="auto"/>
        <w:ind w:left="0" w:hanging="2"/>
      </w:pPr>
      <w:r>
        <w:continuationSeparator/>
      </w:r>
    </w:p>
  </w:endnote>
  <w:endnote w:type="continuationNotice" w:id="1">
    <w:p w:rsidR="007A2BE0" w:rsidRDefault="007A2BE0">
      <w:pPr>
        <w:spacing w:line="240" w:lineRule="auto"/>
        <w:ind w:left="0" w:hanging="2"/>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8"/>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8"/>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8"/>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BE0" w:rsidRDefault="007A2BE0">
      <w:pPr>
        <w:spacing w:line="240" w:lineRule="auto"/>
        <w:ind w:left="0" w:hanging="2"/>
      </w:pPr>
      <w:r>
        <w:separator/>
      </w:r>
    </w:p>
  </w:footnote>
  <w:footnote w:type="continuationSeparator" w:id="0">
    <w:p w:rsidR="007A2BE0" w:rsidRDefault="007A2BE0">
      <w:pPr>
        <w:spacing w:line="240" w:lineRule="auto"/>
        <w:ind w:left="0" w:hanging="2"/>
      </w:pPr>
      <w:r>
        <w:continuationSeparator/>
      </w:r>
    </w:p>
  </w:footnote>
  <w:footnote w:type="continuationNotice" w:id="1">
    <w:p w:rsidR="007A2BE0" w:rsidRDefault="007A2BE0">
      <w:pPr>
        <w:spacing w:line="240" w:lineRule="auto"/>
        <w:ind w:left="0" w:hanging="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6"/>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659790"/>
      <w:docPartObj>
        <w:docPartGallery w:val="Page Numbers (Top of Page)"/>
        <w:docPartUnique/>
      </w:docPartObj>
    </w:sdtPr>
    <w:sdtContent>
      <w:p w:rsidR="00AD5AD5" w:rsidRDefault="00D91E1D">
        <w:pPr>
          <w:pStyle w:val="a6"/>
          <w:ind w:left="0" w:hanging="2"/>
          <w:jc w:val="center"/>
        </w:pPr>
        <w:r>
          <w:t xml:space="preserve">                                                                              </w:t>
        </w:r>
        <w:r w:rsidR="00227437">
          <w:fldChar w:fldCharType="begin"/>
        </w:r>
        <w:r>
          <w:instrText>PAGE   \* MERGEFORMAT</w:instrText>
        </w:r>
        <w:r w:rsidR="00227437">
          <w:fldChar w:fldCharType="separate"/>
        </w:r>
        <w:r w:rsidR="00E9492B">
          <w:rPr>
            <w:noProof/>
          </w:rPr>
          <w:t>2</w:t>
        </w:r>
        <w:r w:rsidR="00227437">
          <w:fldChar w:fldCharType="end"/>
        </w:r>
        <w:r>
          <w:t xml:space="preserve">                                      Продовження додатка 2</w:t>
        </w:r>
      </w:p>
    </w:sdtContent>
  </w:sdt>
  <w:p w:rsidR="00AD5AD5" w:rsidRDefault="00AD5AD5">
    <w:pPr>
      <w:pStyle w:val="a6"/>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6"/>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 w:id="1"/>
  </w:footnotePr>
  <w:endnotePr>
    <w:endnote w:id="-1"/>
    <w:endnote w:id="0"/>
    <w:endnote w:id="1"/>
  </w:endnotePr>
  <w:compat/>
  <w:rsids>
    <w:rsidRoot w:val="00AD5AD5"/>
    <w:rsid w:val="0000647D"/>
    <w:rsid w:val="0004063F"/>
    <w:rsid w:val="00041147"/>
    <w:rsid w:val="00043D2B"/>
    <w:rsid w:val="000B4783"/>
    <w:rsid w:val="000D1688"/>
    <w:rsid w:val="000D2C09"/>
    <w:rsid w:val="000E39B5"/>
    <w:rsid w:val="000E456A"/>
    <w:rsid w:val="00115F8E"/>
    <w:rsid w:val="00151101"/>
    <w:rsid w:val="001612B7"/>
    <w:rsid w:val="00184A2D"/>
    <w:rsid w:val="001A2B5E"/>
    <w:rsid w:val="001C264B"/>
    <w:rsid w:val="0020127D"/>
    <w:rsid w:val="00224F16"/>
    <w:rsid w:val="00227437"/>
    <w:rsid w:val="00240D3B"/>
    <w:rsid w:val="00246A4B"/>
    <w:rsid w:val="002636F1"/>
    <w:rsid w:val="002A54D4"/>
    <w:rsid w:val="002B4428"/>
    <w:rsid w:val="002F57D5"/>
    <w:rsid w:val="003145CA"/>
    <w:rsid w:val="00314859"/>
    <w:rsid w:val="0034154B"/>
    <w:rsid w:val="003457F2"/>
    <w:rsid w:val="0034731E"/>
    <w:rsid w:val="003D3BA3"/>
    <w:rsid w:val="003E7FE4"/>
    <w:rsid w:val="003F0F97"/>
    <w:rsid w:val="003F555A"/>
    <w:rsid w:val="004501E9"/>
    <w:rsid w:val="0047090C"/>
    <w:rsid w:val="00476BCC"/>
    <w:rsid w:val="0047745D"/>
    <w:rsid w:val="00493E24"/>
    <w:rsid w:val="004A0556"/>
    <w:rsid w:val="004C01A5"/>
    <w:rsid w:val="004C4EAA"/>
    <w:rsid w:val="004E5872"/>
    <w:rsid w:val="0052380C"/>
    <w:rsid w:val="00523ED8"/>
    <w:rsid w:val="00525CFF"/>
    <w:rsid w:val="00562D77"/>
    <w:rsid w:val="0056502B"/>
    <w:rsid w:val="00565DEE"/>
    <w:rsid w:val="0056646D"/>
    <w:rsid w:val="00567704"/>
    <w:rsid w:val="005956B5"/>
    <w:rsid w:val="005A57CD"/>
    <w:rsid w:val="005C3791"/>
    <w:rsid w:val="005D6416"/>
    <w:rsid w:val="005F35D5"/>
    <w:rsid w:val="00604A1A"/>
    <w:rsid w:val="00621170"/>
    <w:rsid w:val="0062329F"/>
    <w:rsid w:val="00626841"/>
    <w:rsid w:val="00645725"/>
    <w:rsid w:val="0068646C"/>
    <w:rsid w:val="006A6B64"/>
    <w:rsid w:val="006C1EDA"/>
    <w:rsid w:val="006E048D"/>
    <w:rsid w:val="006F081C"/>
    <w:rsid w:val="006F76FE"/>
    <w:rsid w:val="00704758"/>
    <w:rsid w:val="00731EF7"/>
    <w:rsid w:val="007578F5"/>
    <w:rsid w:val="0076572C"/>
    <w:rsid w:val="0078083A"/>
    <w:rsid w:val="0079165C"/>
    <w:rsid w:val="0079263D"/>
    <w:rsid w:val="00796C75"/>
    <w:rsid w:val="007A2BE0"/>
    <w:rsid w:val="007B5796"/>
    <w:rsid w:val="007E3396"/>
    <w:rsid w:val="007F3810"/>
    <w:rsid w:val="0081557D"/>
    <w:rsid w:val="00842195"/>
    <w:rsid w:val="00844ACF"/>
    <w:rsid w:val="0085065F"/>
    <w:rsid w:val="008678F7"/>
    <w:rsid w:val="00873B57"/>
    <w:rsid w:val="00893753"/>
    <w:rsid w:val="008948DD"/>
    <w:rsid w:val="008A31CA"/>
    <w:rsid w:val="008B4F1C"/>
    <w:rsid w:val="008E7F87"/>
    <w:rsid w:val="00913535"/>
    <w:rsid w:val="00923687"/>
    <w:rsid w:val="00930FB6"/>
    <w:rsid w:val="00944B01"/>
    <w:rsid w:val="00950E18"/>
    <w:rsid w:val="009556AF"/>
    <w:rsid w:val="009557A2"/>
    <w:rsid w:val="00980A32"/>
    <w:rsid w:val="009C1D9C"/>
    <w:rsid w:val="00A10761"/>
    <w:rsid w:val="00A223A8"/>
    <w:rsid w:val="00A32DC9"/>
    <w:rsid w:val="00A409DB"/>
    <w:rsid w:val="00AA0225"/>
    <w:rsid w:val="00AD0758"/>
    <w:rsid w:val="00AD183C"/>
    <w:rsid w:val="00AD5AD5"/>
    <w:rsid w:val="00B11894"/>
    <w:rsid w:val="00B21EE8"/>
    <w:rsid w:val="00B37B44"/>
    <w:rsid w:val="00B611A2"/>
    <w:rsid w:val="00B644D6"/>
    <w:rsid w:val="00B81226"/>
    <w:rsid w:val="00B84C08"/>
    <w:rsid w:val="00BA3489"/>
    <w:rsid w:val="00BC0301"/>
    <w:rsid w:val="00BC1EFA"/>
    <w:rsid w:val="00BD3483"/>
    <w:rsid w:val="00BD36CF"/>
    <w:rsid w:val="00BE0A00"/>
    <w:rsid w:val="00C00B4E"/>
    <w:rsid w:val="00C05339"/>
    <w:rsid w:val="00C20749"/>
    <w:rsid w:val="00C72764"/>
    <w:rsid w:val="00CB03DE"/>
    <w:rsid w:val="00CB1DD5"/>
    <w:rsid w:val="00CC03A8"/>
    <w:rsid w:val="00CD58CE"/>
    <w:rsid w:val="00D16CA6"/>
    <w:rsid w:val="00D20F4C"/>
    <w:rsid w:val="00D40558"/>
    <w:rsid w:val="00D60E0D"/>
    <w:rsid w:val="00D91E1D"/>
    <w:rsid w:val="00D96E38"/>
    <w:rsid w:val="00DB41BA"/>
    <w:rsid w:val="00DB7F9D"/>
    <w:rsid w:val="00E259A7"/>
    <w:rsid w:val="00E47E9B"/>
    <w:rsid w:val="00E63F63"/>
    <w:rsid w:val="00E641CB"/>
    <w:rsid w:val="00E74EB6"/>
    <w:rsid w:val="00E8627C"/>
    <w:rsid w:val="00E9492B"/>
    <w:rsid w:val="00EA374A"/>
    <w:rsid w:val="00EB7C45"/>
    <w:rsid w:val="00ED2224"/>
    <w:rsid w:val="00ED59E2"/>
    <w:rsid w:val="00EE06B7"/>
    <w:rsid w:val="00F14FEA"/>
    <w:rsid w:val="00F20F54"/>
    <w:rsid w:val="00F35FD1"/>
    <w:rsid w:val="00F631F9"/>
    <w:rsid w:val="00F81DCD"/>
    <w:rsid w:val="00FB5DC3"/>
    <w:rsid w:val="00FB65E0"/>
    <w:rsid w:val="00FC33EC"/>
    <w:rsid w:val="00FC5850"/>
    <w:rsid w:val="00FE2C20"/>
    <w:rsid w:val="00FE4344"/>
    <w:rsid w:val="00FF57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8E"/>
    <w:pPr>
      <w:suppressAutoHyphens/>
      <w:spacing w:line="1" w:lineRule="atLeast"/>
      <w:ind w:leftChars="-1" w:left="-1" w:hangingChars="1"/>
      <w:textDirection w:val="btLr"/>
      <w:textAlignment w:val="top"/>
      <w:outlineLvl w:val="0"/>
    </w:pPr>
    <w:rPr>
      <w:position w:val="-1"/>
      <w:lang w:eastAsia="ru-RU"/>
    </w:rPr>
  </w:style>
  <w:style w:type="paragraph" w:styleId="1">
    <w:name w:val="heading 1"/>
    <w:basedOn w:val="a"/>
    <w:next w:val="a"/>
    <w:uiPriority w:val="9"/>
    <w:qFormat/>
    <w:rsid w:val="00115F8E"/>
    <w:pPr>
      <w:keepNext/>
      <w:keepLines/>
      <w:spacing w:before="480" w:after="120"/>
    </w:pPr>
    <w:rPr>
      <w:b/>
      <w:sz w:val="48"/>
      <w:szCs w:val="48"/>
    </w:rPr>
  </w:style>
  <w:style w:type="paragraph" w:styleId="2">
    <w:name w:val="heading 2"/>
    <w:basedOn w:val="a"/>
    <w:uiPriority w:val="9"/>
    <w:semiHidden/>
    <w:unhideWhenUsed/>
    <w:qFormat/>
    <w:rsid w:val="00115F8E"/>
    <w:pPr>
      <w:spacing w:before="100" w:beforeAutospacing="1" w:after="100" w:afterAutospacing="1"/>
      <w:outlineLvl w:val="1"/>
    </w:pPr>
    <w:rPr>
      <w:b/>
      <w:bCs/>
      <w:sz w:val="36"/>
      <w:szCs w:val="36"/>
    </w:rPr>
  </w:style>
  <w:style w:type="paragraph" w:styleId="3">
    <w:name w:val="heading 3"/>
    <w:basedOn w:val="a"/>
    <w:uiPriority w:val="9"/>
    <w:semiHidden/>
    <w:unhideWhenUsed/>
    <w:qFormat/>
    <w:rsid w:val="00115F8E"/>
    <w:pPr>
      <w:spacing w:before="100" w:beforeAutospacing="1" w:after="100" w:afterAutospacing="1"/>
      <w:outlineLvl w:val="2"/>
    </w:pPr>
    <w:rPr>
      <w:b/>
      <w:bCs/>
      <w:sz w:val="27"/>
      <w:szCs w:val="27"/>
    </w:rPr>
  </w:style>
  <w:style w:type="paragraph" w:styleId="4">
    <w:name w:val="heading 4"/>
    <w:basedOn w:val="a"/>
    <w:next w:val="a"/>
    <w:uiPriority w:val="9"/>
    <w:semiHidden/>
    <w:unhideWhenUsed/>
    <w:qFormat/>
    <w:rsid w:val="00115F8E"/>
    <w:pPr>
      <w:keepNext/>
      <w:keepLines/>
      <w:spacing w:before="240" w:after="40"/>
      <w:outlineLvl w:val="3"/>
    </w:pPr>
    <w:rPr>
      <w:b/>
    </w:rPr>
  </w:style>
  <w:style w:type="paragraph" w:styleId="5">
    <w:name w:val="heading 5"/>
    <w:basedOn w:val="a"/>
    <w:next w:val="a"/>
    <w:uiPriority w:val="9"/>
    <w:semiHidden/>
    <w:unhideWhenUsed/>
    <w:qFormat/>
    <w:rsid w:val="00115F8E"/>
    <w:pPr>
      <w:keepNext/>
      <w:keepLines/>
      <w:spacing w:before="220" w:after="40"/>
      <w:outlineLvl w:val="4"/>
    </w:pPr>
    <w:rPr>
      <w:b/>
      <w:sz w:val="22"/>
      <w:szCs w:val="22"/>
    </w:rPr>
  </w:style>
  <w:style w:type="paragraph" w:styleId="6">
    <w:name w:val="heading 6"/>
    <w:basedOn w:val="a"/>
    <w:next w:val="a"/>
    <w:uiPriority w:val="9"/>
    <w:semiHidden/>
    <w:unhideWhenUsed/>
    <w:qFormat/>
    <w:rsid w:val="00115F8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15F8E"/>
    <w:tblPr>
      <w:tblCellMar>
        <w:top w:w="0" w:type="dxa"/>
        <w:left w:w="0" w:type="dxa"/>
        <w:bottom w:w="0" w:type="dxa"/>
        <w:right w:w="0" w:type="dxa"/>
      </w:tblCellMar>
    </w:tblPr>
  </w:style>
  <w:style w:type="paragraph" w:styleId="a3">
    <w:name w:val="Title"/>
    <w:basedOn w:val="a"/>
    <w:next w:val="a"/>
    <w:uiPriority w:val="10"/>
    <w:qFormat/>
    <w:rsid w:val="00115F8E"/>
    <w:pPr>
      <w:keepNext/>
      <w:keepLines/>
      <w:spacing w:before="480" w:after="120"/>
    </w:pPr>
    <w:rPr>
      <w:b/>
      <w:sz w:val="72"/>
      <w:szCs w:val="72"/>
    </w:rPr>
  </w:style>
  <w:style w:type="table" w:customStyle="1" w:styleId="TableNormal0">
    <w:name w:val="Table Normal"/>
    <w:rsid w:val="00115F8E"/>
    <w:tblPr>
      <w:tblCellMar>
        <w:top w:w="0" w:type="dxa"/>
        <w:left w:w="0" w:type="dxa"/>
        <w:bottom w:w="0" w:type="dxa"/>
        <w:right w:w="0" w:type="dxa"/>
      </w:tblCellMar>
    </w:tblPr>
  </w:style>
  <w:style w:type="paragraph" w:customStyle="1" w:styleId="Web1Web111Web1Web11Web">
    <w:name w:val="Обычный (веб);Звичайний (веб);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qFormat/>
    <w:rsid w:val="00115F8E"/>
    <w:pPr>
      <w:spacing w:before="100" w:beforeAutospacing="1" w:after="100" w:afterAutospacing="1"/>
    </w:pPr>
  </w:style>
  <w:style w:type="character" w:customStyle="1" w:styleId="20">
    <w:name w:val="Заголовок 2 Знак"/>
    <w:rsid w:val="00115F8E"/>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30">
    <w:name w:val="Заголовок 3 Знак"/>
    <w:rsid w:val="00115F8E"/>
    <w:rPr>
      <w:rFonts w:ascii="Cambria" w:eastAsia="Times New Roman" w:hAnsi="Cambria" w:cs="Times New Roman"/>
      <w:b/>
      <w:bCs/>
      <w:color w:val="4F81BD"/>
      <w:w w:val="100"/>
      <w:position w:val="-1"/>
      <w:sz w:val="24"/>
      <w:szCs w:val="24"/>
      <w:effect w:val="none"/>
      <w:vertAlign w:val="baseline"/>
      <w:cs w:val="0"/>
      <w:em w:val="none"/>
    </w:rPr>
  </w:style>
  <w:style w:type="paragraph" w:styleId="a4">
    <w:name w:val="Balloon Text"/>
    <w:basedOn w:val="a"/>
    <w:qFormat/>
    <w:rsid w:val="00115F8E"/>
    <w:rPr>
      <w:rFonts w:ascii="Tahoma" w:hAnsi="Tahoma" w:cs="Tahoma"/>
      <w:sz w:val="16"/>
      <w:szCs w:val="16"/>
    </w:rPr>
  </w:style>
  <w:style w:type="character" w:customStyle="1" w:styleId="a5">
    <w:name w:val="Текст у виносці Знак"/>
    <w:rsid w:val="00115F8E"/>
    <w:rPr>
      <w:rFonts w:ascii="Tahoma" w:eastAsia="Times New Roman" w:hAnsi="Tahoma" w:cs="Tahoma"/>
      <w:w w:val="100"/>
      <w:position w:val="-1"/>
      <w:sz w:val="16"/>
      <w:szCs w:val="16"/>
      <w:effect w:val="none"/>
      <w:vertAlign w:val="baseline"/>
      <w:cs w:val="0"/>
      <w:em w:val="none"/>
    </w:rPr>
  </w:style>
  <w:style w:type="paragraph" w:styleId="a6">
    <w:name w:val="header"/>
    <w:basedOn w:val="a"/>
    <w:uiPriority w:val="99"/>
    <w:rsid w:val="00115F8E"/>
    <w:pPr>
      <w:tabs>
        <w:tab w:val="center" w:pos="4677"/>
        <w:tab w:val="right" w:pos="9355"/>
      </w:tabs>
      <w:autoSpaceDE w:val="0"/>
      <w:autoSpaceDN w:val="0"/>
    </w:pPr>
    <w:rPr>
      <w:lang w:val="uk-UA"/>
    </w:rPr>
  </w:style>
  <w:style w:type="character" w:customStyle="1" w:styleId="a7">
    <w:name w:val="Верхній колонтитул Знак"/>
    <w:uiPriority w:val="99"/>
    <w:rsid w:val="00115F8E"/>
    <w:rPr>
      <w:w w:val="100"/>
      <w:position w:val="-1"/>
      <w:sz w:val="24"/>
      <w:szCs w:val="24"/>
      <w:effect w:val="none"/>
      <w:vertAlign w:val="baseline"/>
      <w:cs w:val="0"/>
      <w:em w:val="none"/>
      <w:lang w:val="uk-UA"/>
    </w:rPr>
  </w:style>
  <w:style w:type="character" w:customStyle="1" w:styleId="Web1Web111Web1Web1113">
    <w:name w:val="Звичайний (веб) Знак;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3 Знак Знак"/>
    <w:rsid w:val="00115F8E"/>
    <w:rPr>
      <w:w w:val="100"/>
      <w:position w:val="-1"/>
      <w:sz w:val="24"/>
      <w:szCs w:val="24"/>
      <w:effect w:val="none"/>
      <w:vertAlign w:val="baseline"/>
      <w:cs w:val="0"/>
      <w:em w:val="none"/>
    </w:rPr>
  </w:style>
  <w:style w:type="paragraph" w:styleId="a8">
    <w:name w:val="footer"/>
    <w:basedOn w:val="a"/>
    <w:qFormat/>
    <w:rsid w:val="00115F8E"/>
    <w:pPr>
      <w:tabs>
        <w:tab w:val="center" w:pos="4677"/>
        <w:tab w:val="right" w:pos="9355"/>
      </w:tabs>
    </w:pPr>
  </w:style>
  <w:style w:type="character" w:customStyle="1" w:styleId="a9">
    <w:name w:val="Нижній колонтитул Знак"/>
    <w:rsid w:val="00115F8E"/>
    <w:rPr>
      <w:w w:val="100"/>
      <w:position w:val="-1"/>
      <w:sz w:val="24"/>
      <w:szCs w:val="24"/>
      <w:effect w:val="none"/>
      <w:vertAlign w:val="baseline"/>
      <w:cs w:val="0"/>
      <w:em w:val="none"/>
    </w:rPr>
  </w:style>
  <w:style w:type="paragraph" w:customStyle="1" w:styleId="CharCharCharChar">
    <w:name w:val="Char Знак Знак Char Знак Знак Char Знак Знак Char Знак Знак"/>
    <w:basedOn w:val="a"/>
    <w:rsid w:val="00115F8E"/>
    <w:rPr>
      <w:rFonts w:ascii="Verdana" w:hAnsi="Verdana" w:cs="Verdana"/>
      <w:sz w:val="20"/>
      <w:szCs w:val="20"/>
      <w:lang w:val="en-US" w:eastAsia="en-US"/>
    </w:rPr>
  </w:style>
  <w:style w:type="table" w:styleId="aa">
    <w:name w:val="Table Grid"/>
    <w:basedOn w:val="a1"/>
    <w:rsid w:val="00115F8E"/>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uiPriority w:val="11"/>
    <w:qFormat/>
    <w:rsid w:val="00115F8E"/>
    <w:pPr>
      <w:keepNext/>
      <w:keepLines/>
      <w:spacing w:before="360" w:after="80"/>
    </w:pPr>
    <w:rPr>
      <w:rFonts w:ascii="Georgia" w:eastAsia="Georgia" w:hAnsi="Georgia" w:cs="Georgia"/>
      <w:i/>
      <w:color w:val="666666"/>
      <w:sz w:val="48"/>
      <w:szCs w:val="48"/>
    </w:rPr>
  </w:style>
  <w:style w:type="table" w:customStyle="1" w:styleId="ac">
    <w:basedOn w:val="TableNormal0"/>
    <w:rsid w:val="00115F8E"/>
    <w:tblPr>
      <w:tblStyleRowBandSize w:val="1"/>
      <w:tblStyleColBandSize w:val="1"/>
      <w:tblCellMar>
        <w:top w:w="24" w:type="dxa"/>
        <w:left w:w="24" w:type="dxa"/>
        <w:bottom w:w="24" w:type="dxa"/>
        <w:right w:w="24" w:type="dxa"/>
      </w:tblCellMar>
    </w:tblPr>
  </w:style>
  <w:style w:type="table" w:customStyle="1" w:styleId="ad">
    <w:basedOn w:val="TableNormal0"/>
    <w:rsid w:val="00115F8E"/>
    <w:tblPr>
      <w:tblStyleRowBandSize w:val="1"/>
      <w:tblStyleColBandSize w:val="1"/>
      <w:tblCellMar>
        <w:top w:w="24" w:type="dxa"/>
        <w:left w:w="24" w:type="dxa"/>
        <w:bottom w:w="24" w:type="dxa"/>
        <w:right w:w="24" w:type="dxa"/>
      </w:tblCellMar>
    </w:tblPr>
  </w:style>
  <w:style w:type="table" w:customStyle="1" w:styleId="ae">
    <w:basedOn w:val="TableNormal0"/>
    <w:rsid w:val="00115F8E"/>
    <w:tblPr>
      <w:tblStyleRowBandSize w:val="1"/>
      <w:tblStyleColBandSize w:val="1"/>
      <w:tblCellMar>
        <w:top w:w="24" w:type="dxa"/>
        <w:left w:w="24" w:type="dxa"/>
        <w:bottom w:w="24" w:type="dxa"/>
        <w:right w:w="24" w:type="dxa"/>
      </w:tblCellMar>
    </w:tblPr>
  </w:style>
  <w:style w:type="table" w:customStyle="1" w:styleId="af">
    <w:basedOn w:val="TableNormal0"/>
    <w:rsid w:val="00115F8E"/>
    <w:tblPr>
      <w:tblStyleRowBandSize w:val="1"/>
      <w:tblStyleColBandSize w:val="1"/>
      <w:tblCellMar>
        <w:top w:w="24" w:type="dxa"/>
        <w:left w:w="24" w:type="dxa"/>
        <w:bottom w:w="24" w:type="dxa"/>
        <w:right w:w="24" w:type="dxa"/>
      </w:tblCellMar>
    </w:tblPr>
  </w:style>
  <w:style w:type="table" w:customStyle="1" w:styleId="af0">
    <w:basedOn w:val="TableNormal0"/>
    <w:rsid w:val="00115F8E"/>
    <w:tblPr>
      <w:tblStyleRowBandSize w:val="1"/>
      <w:tblStyleColBandSize w:val="1"/>
      <w:tblCellMar>
        <w:top w:w="24" w:type="dxa"/>
        <w:left w:w="24" w:type="dxa"/>
        <w:bottom w:w="24" w:type="dxa"/>
        <w:right w:w="24" w:type="dxa"/>
      </w:tblCellMar>
    </w:tblPr>
  </w:style>
  <w:style w:type="table" w:customStyle="1" w:styleId="af1">
    <w:basedOn w:val="TableNormal0"/>
    <w:rsid w:val="00115F8E"/>
    <w:tblPr>
      <w:tblStyleRowBandSize w:val="1"/>
      <w:tblStyleColBandSize w:val="1"/>
      <w:tblCellMar>
        <w:top w:w="24" w:type="dxa"/>
        <w:left w:w="24" w:type="dxa"/>
        <w:bottom w:w="24" w:type="dxa"/>
        <w:right w:w="24" w:type="dxa"/>
      </w:tblCellMar>
    </w:tblPr>
  </w:style>
  <w:style w:type="table" w:customStyle="1" w:styleId="af2">
    <w:basedOn w:val="TableNormal0"/>
    <w:rsid w:val="00115F8E"/>
    <w:tblPr>
      <w:tblStyleRowBandSize w:val="1"/>
      <w:tblStyleColBandSize w:val="1"/>
      <w:tblCellMar>
        <w:top w:w="24" w:type="dxa"/>
        <w:left w:w="24" w:type="dxa"/>
        <w:bottom w:w="24" w:type="dxa"/>
        <w:right w:w="24" w:type="dxa"/>
      </w:tblCellMar>
    </w:tblPr>
  </w:style>
  <w:style w:type="table" w:customStyle="1" w:styleId="af3">
    <w:basedOn w:val="TableNormal0"/>
    <w:rsid w:val="00115F8E"/>
    <w:tblPr>
      <w:tblStyleRowBandSize w:val="1"/>
      <w:tblStyleColBandSize w:val="1"/>
      <w:tblCellMar>
        <w:top w:w="24" w:type="dxa"/>
        <w:left w:w="24" w:type="dxa"/>
        <w:bottom w:w="24" w:type="dxa"/>
        <w:right w:w="24" w:type="dxa"/>
      </w:tblCellMar>
    </w:tblPr>
  </w:style>
  <w:style w:type="table" w:customStyle="1" w:styleId="af4">
    <w:basedOn w:val="TableNormal0"/>
    <w:rsid w:val="00115F8E"/>
    <w:tblPr>
      <w:tblStyleRowBandSize w:val="1"/>
      <w:tblStyleColBandSize w:val="1"/>
      <w:tblCellMar>
        <w:top w:w="24" w:type="dxa"/>
        <w:left w:w="24" w:type="dxa"/>
        <w:bottom w:w="24" w:type="dxa"/>
        <w:right w:w="24" w:type="dxa"/>
      </w:tblCellMar>
    </w:tblPr>
  </w:style>
  <w:style w:type="table" w:customStyle="1" w:styleId="af5">
    <w:basedOn w:val="TableNormal0"/>
    <w:rsid w:val="00115F8E"/>
    <w:tblPr>
      <w:tblStyleRowBandSize w:val="1"/>
      <w:tblStyleColBandSize w:val="1"/>
      <w:tblCellMar>
        <w:top w:w="24" w:type="dxa"/>
        <w:left w:w="24" w:type="dxa"/>
        <w:bottom w:w="24" w:type="dxa"/>
        <w:right w:w="24" w:type="dxa"/>
      </w:tblCellMar>
    </w:tblPr>
  </w:style>
  <w:style w:type="table" w:customStyle="1" w:styleId="af6">
    <w:basedOn w:val="TableNormal0"/>
    <w:rsid w:val="00115F8E"/>
    <w:tblPr>
      <w:tblStyleRowBandSize w:val="1"/>
      <w:tblStyleColBandSize w:val="1"/>
      <w:tblCellMar>
        <w:top w:w="24" w:type="dxa"/>
        <w:left w:w="24" w:type="dxa"/>
        <w:bottom w:w="24" w:type="dxa"/>
        <w:right w:w="24" w:type="dxa"/>
      </w:tblCellMar>
    </w:tblPr>
  </w:style>
  <w:style w:type="table" w:customStyle="1" w:styleId="af7">
    <w:basedOn w:val="TableNormal0"/>
    <w:rsid w:val="00115F8E"/>
    <w:tblPr>
      <w:tblStyleRowBandSize w:val="1"/>
      <w:tblStyleColBandSize w:val="1"/>
      <w:tblCellMar>
        <w:top w:w="24" w:type="dxa"/>
        <w:left w:w="24" w:type="dxa"/>
        <w:bottom w:w="24" w:type="dxa"/>
        <w:right w:w="24" w:type="dxa"/>
      </w:tblCellMar>
    </w:tblPr>
  </w:style>
</w:styles>
</file>

<file path=word/webSettings.xml><?xml version="1.0" encoding="utf-8"?>
<w:webSettings xmlns:r="http://schemas.openxmlformats.org/officeDocument/2006/relationships" xmlns:w="http://schemas.openxmlformats.org/wordprocessingml/2006/main">
  <w:divs>
    <w:div w:id="34891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r85HONMtIWoOKTorwFEViV0dRw==">AMUW2mVJ/BJ+JxjasxX91raQv9+lslnqqe3IHkLiJ1T13PSN/Q0H88Iawwn8+NqXTAbwjQSQvxDRLYkSqV+eq7wb7tQcRrWonPbGIJFjf2b7uA3wK0QLPys=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2836</Words>
  <Characters>1618</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Оксана Валентинiвна</dc:creator>
  <cp:lastModifiedBy>d910-savka</cp:lastModifiedBy>
  <cp:revision>2</cp:revision>
  <cp:lastPrinted>2023-03-14T15:24:00Z</cp:lastPrinted>
  <dcterms:created xsi:type="dcterms:W3CDTF">2023-04-06T08:53:00Z</dcterms:created>
  <dcterms:modified xsi:type="dcterms:W3CDTF">2023-04-06T08:53:00Z</dcterms:modified>
</cp:coreProperties>
</file>