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1E" w:rsidRDefault="00D16C1E" w:rsidP="00D16C1E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eastAsia="uk-UA"/>
        </w:rPr>
        <w:drawing>
          <wp:inline distT="0" distB="0" distL="0" distR="0" wp14:anchorId="763470D7" wp14:editId="54D9D341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1E" w:rsidRDefault="00D16C1E" w:rsidP="00D16C1E">
      <w:pPr>
        <w:keepNext/>
        <w:widowControl w:val="0"/>
        <w:tabs>
          <w:tab w:val="right" w:pos="9525"/>
        </w:tabs>
        <w:suppressAutoHyphens/>
        <w:spacing w:before="240"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  <w:t>УКРАЇНА</w:t>
      </w:r>
    </w:p>
    <w:p w:rsidR="00D16C1E" w:rsidRDefault="00D16C1E" w:rsidP="00D16C1E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</w:pPr>
      <w:proofErr w:type="spellStart"/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  <w:t>РОГАТИНСЬКА</w:t>
      </w:r>
      <w:proofErr w:type="spellEnd"/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  <w:t xml:space="preserve"> МІСЬКА РАДА</w:t>
      </w:r>
    </w:p>
    <w:p w:rsidR="00D16C1E" w:rsidRDefault="00D16C1E" w:rsidP="00D16C1E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  <w:t>ІВАНО-ФРАНКІВСЬКОЇ ОБЛАСТІ</w:t>
      </w:r>
    </w:p>
    <w:p w:rsidR="00D16C1E" w:rsidRDefault="00D16C1E" w:rsidP="00D16C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38A34DD" wp14:editId="281ACA5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4C75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16C1E" w:rsidRDefault="00D16C1E" w:rsidP="00D16C1E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  <w:t>РІШЕННЯ</w:t>
      </w:r>
    </w:p>
    <w:p w:rsidR="00D16C1E" w:rsidRDefault="00D16C1E" w:rsidP="00D16C1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</w:p>
    <w:p w:rsidR="00D16C1E" w:rsidRDefault="00D16C1E" w:rsidP="00D16C1E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>від 27 січня 2022 р. №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 w:rsidR="00BF3FCE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 xml:space="preserve"> 4267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  <w:t xml:space="preserve">19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 xml:space="preserve"> скликання</w:t>
      </w:r>
    </w:p>
    <w:p w:rsidR="000D7E1B" w:rsidRDefault="00D16C1E" w:rsidP="006C7DBB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>м. Рогатин</w:t>
      </w:r>
    </w:p>
    <w:p w:rsidR="006C7DBB" w:rsidRPr="006C7DBB" w:rsidRDefault="006C7DBB" w:rsidP="006C7DBB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</w:p>
    <w:p w:rsidR="00D16C1E" w:rsidRPr="00D16C1E" w:rsidRDefault="00D16C1E" w:rsidP="00D1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</w:t>
      </w:r>
      <w:r w:rsidRPr="00D16C1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6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1E" w:rsidRPr="00D16C1E" w:rsidRDefault="00D16C1E" w:rsidP="00D1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C1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D16C1E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:rsidR="00D16C1E" w:rsidRDefault="00D16C1E" w:rsidP="00D1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C1E">
        <w:rPr>
          <w:rFonts w:ascii="Times New Roman" w:hAnsi="Times New Roman" w:cs="Times New Roman"/>
          <w:sz w:val="28"/>
          <w:szCs w:val="28"/>
        </w:rPr>
        <w:t>громади на 2022 рік</w:t>
      </w:r>
    </w:p>
    <w:p w:rsidR="00D16C1E" w:rsidRPr="00D16C1E" w:rsidRDefault="00D16C1E" w:rsidP="00D16C1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статей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26,61 Закону України «Про 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сцеве самоврядування в Україні», статей14,72,78 Бюджетного кодексу України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враховуючи висновки та рекомендації постійної комісії міської ради з питань стратегічного розвитку, бюджету і фінансів, комунальної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регуляторної політики від 25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.01.2022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(протокол № 34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міська рада ВИРІШИЛА: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18 сесії міської ради від 23.12.2021 року № 3878 «Про бюджет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на 2022 рік».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Врахувати в доходах спеціального фонду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іншу субвенції з місцевого бюджету за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КБКДМБ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41053900 в сумі 750000,00 грн. та спрямувати її на видатки спеціального фонду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міській раді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0112010 «Багатопрофільна стаціонарна медична допомога населенню»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3210 «Капітальні  трансферти підприємствам (установам, організаціям)» на суму 250000,00 грн. для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КНМП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Рогатинська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центральна районна лікарня» на об’єкт «Капітальний ремонт приймального відділення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КНМП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Рогатинська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центральна районна лікарня»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м.Рогатин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Івано-Франківського району Івано-Франківської області»;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відділу освіти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0611021 «Надання загальної середньої освіти закладами загальної середньої освіти»</w:t>
      </w: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3132 «Капітальний ремонт інших об′єктів» на суму 500000,00 грн. на об'єкт «Капітальний ремонт дитячого майданчика по вул. Шевченка 10, м. Рогатин»;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субвенцію з місцевого бюджету на здійснення природоохоронних заходів</w:t>
      </w:r>
      <w:r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КБКДМБ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41053600 в сумі 993300,00 грн. та спрямувати її</w:t>
      </w:r>
      <w:r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видатки спеціального фонду бюджету міської територіальної громади 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міській раді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0118311 «Охорона та раціональне використання природніх ресурсів»</w:t>
      </w: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3110 «Придбання обладнання та предметів</w:t>
      </w:r>
      <w:r w:rsidR="00901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довгострокового використання»</w:t>
      </w: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суму 493300,00 грн. на придбання обладнання (контейнерів) для збору побутових відходів на території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громади;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3210 «Капітальні трансферти підприємствам (установам, організаціям)» в сумі 500000,00 грн. для ДП «Рогатин-Водоканал» на об'єкт «Нове будівництво каналізаційної мережі по вул. Шеремети, вул. Левицького, вул. Поповича на землях комунальної власності в місті Рогатині Івано-Франківської області» (коригування кошторисної документації).</w:t>
      </w:r>
    </w:p>
    <w:p w:rsidR="00D16C1E" w:rsidRPr="00D16C1E" w:rsidRDefault="00901647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Частину вільного залишку коштів загального фонду за рахунок субвенції з державного бюджету місцевим бюджетам на здійснення заходів щодо соціально-економічного розвитку окремих територій бюджету </w:t>
      </w:r>
      <w:proofErr w:type="spellStart"/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іської територіальної громади, </w:t>
      </w:r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який склався станом на 01.01.2021 року в сумі 1825215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</w:t>
      </w:r>
      <w:r w:rsidR="00D16C1E"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спрямувати на видатки спеціального фонду (видатки розвитку) бюджету міської територіальної громади 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міській раді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0117363 «Виконання інвестиційних проектів в рамках здійснення заходів щодо соціально-економічного розвитку окремих територій »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3110 «Придбання обладнання та предметів довгострокового використання» на придбання обладнання (контейнерів) для роздільного збору побутових відходів в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Рогатинську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територіальну громаду для комунального підприємства «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Рогатинське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Будинкоуправління»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ради. (Івано-Франківська обл., м. Рогатин, вул. Галицька, будинок 52) в сумі 1413000,00 грн.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відділу освіти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0617363 «Виконання інвестиційних проектів в рамках здійснення заходів щодо соціально-економічного розвитку окремих територій»: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3122 «Капітальне будівництво (придбання) інших об'єктів» на 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об’єкт </w:t>
      </w:r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Добудова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Верхньолипицького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ліцею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спортивного залу по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вул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Центральній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26 в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селі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Верхня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Липиця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територіальної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громади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Івано-Франківського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району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Івано-Франківської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області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 (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виготовлення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ПКД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в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сумі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112215</w:t>
      </w:r>
      <w:r w:rsidRPr="00D16C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,00 грн.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об'єкт «Виготовлення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ПКД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«Добудова до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Верхньолипицького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ліцею спортивного залу по вул. Центральній, 26 в селі Верхня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Липиця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 Івано-Франківського району Івано-Франківської області» в сумі 300000,00 грн.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цьому здійснити передачу коштів із загального фонду бюджету до бюджету розвитку спеціального фонду на суму 1825215,00 грн.</w:t>
      </w:r>
    </w:p>
    <w:p w:rsidR="00D16C1E" w:rsidRPr="00D16C1E" w:rsidRDefault="00901647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</w:t>
      </w:r>
      <w:r w:rsidR="00D16C1E"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C7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Частину вільного залишку коштів загального фонду бюджету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громади,  який склався станом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1.01.2021 року в сумі 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584171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грн.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ямувати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збільшити видаткову частину загального фонду </w:t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бюджету міської територіальної громади: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міській раді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2730 «Інші виплати населенню» на суму 100000,00 грн. на забезпечення заходів Програми соціального захисту та соціальних послуг на території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 на 2021-2023 роки.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0117130 «Здійснення заходів із землеустрою»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2281 «Дослідження і розробки, окремі заходи по реалізації державних (регіональних) програм» в сумі 260000,00 грн.  на виконання заходів Програми розвитку земельних відносин в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Рогатинській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на 2022-2025 роки (розроблення технічної документації із землеустрою ).</w:t>
      </w:r>
    </w:p>
    <w:p w:rsidR="00D16C1E" w:rsidRPr="00D16C1E" w:rsidRDefault="00D16C1E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0118130 «Забезпечення діяльності місцевої пожежної охорони»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2210 «Предмети, матеріали, обладнання та інвентар»» на суму 100000,00 грн. на реалізацію заходів  комплексної Програми забезпечення пожежної та техногенної безпеки в </w:t>
      </w:r>
      <w:proofErr w:type="spellStart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Рогатинській</w:t>
      </w:r>
      <w:proofErr w:type="spellEnd"/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 на період 2022-2025 роки  (створення та функціонування підрозділів пожежної охорони).</w:t>
      </w:r>
    </w:p>
    <w:p w:rsidR="00D16C1E" w:rsidRPr="00D16C1E" w:rsidRDefault="00D16C1E" w:rsidP="006C7DBB">
      <w:pPr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КТПКВКМБ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0119800 «Субвенція з місцевого бюджету державному бюджету на виконання програм соціально-економічного розвитку регіонів»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2620 «Поточні трансферти органам державного управління інших рівнів» в сумі 55000,00 грн. для 16-ДПРЧ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УДСНС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в Івано- Франківській області на реалізацію заходів  комплексної Програми забезпечення пожежної та техногенної безпеки в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Рогатинській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міській територіальній громаді  на період 2022-2025 роки (придбання  запасних деталей для пожежних автомобілів, автомобільних шин, пожежного устаткування та паливо-мастильних матеріалів – 50000,00 грн. та агітаційно-роз’яснювальні роботи – 5000,00 грн.).</w:t>
      </w:r>
    </w:p>
    <w:p w:rsidR="00D16C1E" w:rsidRPr="00D16C1E" w:rsidRDefault="00D16C1E" w:rsidP="006C7DBB">
      <w:pPr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збільшити видаткову частину спеціального фонду бюджету міської територіальної громади:</w:t>
      </w:r>
    </w:p>
    <w:p w:rsidR="00D16C1E" w:rsidRPr="00D16C1E" w:rsidRDefault="00D16C1E" w:rsidP="006C7DBB">
      <w:pPr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міській раді</w:t>
      </w:r>
    </w:p>
    <w:p w:rsidR="00D16C1E" w:rsidRPr="00D16C1E" w:rsidRDefault="00D16C1E" w:rsidP="006C7DBB">
      <w:pPr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КПКВКМБ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0110180 «Інша діяльність у сфері державного управління»</w:t>
      </w:r>
      <w:r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КЕКВ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3110 «Придбання обладнання та предметів довгострокового використання» в сумі 69171,00 грн. на реалізацію заходів Програма розвитку місцевого самоврядування в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Рогатинській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міській  територіальній громаді на 2022 рік (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співфінансування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«Посилення стійкості громад в регіонах України- </w:t>
      </w:r>
      <w:proofErr w:type="spellStart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proofErr w:type="spellEnd"/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фаза» в рамках ініціативи «Організація процесу надання адміністративних послуг в територіальних громадах»).</w:t>
      </w:r>
    </w:p>
    <w:p w:rsidR="00D16C1E" w:rsidRPr="00D16C1E" w:rsidRDefault="00901647" w:rsidP="006C7DBB">
      <w:pPr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6C1E"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цьому здійснити передачу коштів із загального фонду бюджету до бюджету розвитку спеціального фонду на суму 69171,00 грн. грн.</w:t>
      </w:r>
    </w:p>
    <w:p w:rsidR="00D16C1E" w:rsidRPr="00D16C1E" w:rsidRDefault="00901647" w:rsidP="006C7D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Фінансовому відділу виконавчого комітету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– 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арія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Гураль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відповідні зміни у бюджетні призначення головних розпорядників коштів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мціської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з врахуванням їх пропозицій щодо розподілу за функціональною та економічною ознаками.</w:t>
      </w:r>
    </w:p>
    <w:p w:rsidR="00D16C1E" w:rsidRPr="00D16C1E" w:rsidRDefault="006C7DBB" w:rsidP="006C7D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</w:t>
      </w:r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</w:t>
      </w:r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proofErr w:type="spellEnd"/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стратегічного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 і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регуляторної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(голова </w:t>
      </w:r>
      <w:proofErr w:type="spellStart"/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</w:t>
      </w:r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тяна</w:t>
      </w:r>
      <w:proofErr w:type="spellEnd"/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Винник</w:t>
      </w:r>
      <w:r w:rsidR="00901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D16C1E" w:rsidRPr="00D16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bookmarkEnd w:id="0"/>
    <w:p w:rsidR="00D16C1E" w:rsidRPr="00D16C1E" w:rsidRDefault="00D16C1E" w:rsidP="00D16C1E">
      <w:pPr>
        <w:tabs>
          <w:tab w:val="left" w:pos="17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1E" w:rsidRPr="00D16C1E" w:rsidRDefault="00D16C1E" w:rsidP="00D16C1E">
      <w:pPr>
        <w:tabs>
          <w:tab w:val="left" w:pos="17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1E" w:rsidRPr="00D16C1E" w:rsidRDefault="00D16C1E" w:rsidP="00D16C1E">
      <w:pPr>
        <w:tabs>
          <w:tab w:val="left" w:pos="4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</w:t>
      </w:r>
      <w:r w:rsidR="0090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Сергій </w:t>
      </w:r>
      <w:proofErr w:type="spellStart"/>
      <w:r w:rsidR="00901647"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НАСАЛИК</w:t>
      </w:r>
      <w:proofErr w:type="spellEnd"/>
      <w:r w:rsidR="00901647" w:rsidRPr="00D1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6C1E" w:rsidRPr="00D16C1E" w:rsidRDefault="00D16C1E" w:rsidP="00D16C1E">
      <w:pPr>
        <w:overflowPunct w:val="0"/>
        <w:autoSpaceDE w:val="0"/>
        <w:autoSpaceDN w:val="0"/>
        <w:adjustRightInd w:val="0"/>
        <w:spacing w:after="0" w:line="240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C1E" w:rsidRPr="00D16C1E" w:rsidRDefault="00D16C1E" w:rsidP="00D1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C1E" w:rsidRPr="00D16C1E" w:rsidSect="00D16C1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3B" w:rsidRDefault="00DC493B" w:rsidP="00D16C1E">
      <w:pPr>
        <w:spacing w:after="0" w:line="240" w:lineRule="auto"/>
      </w:pPr>
      <w:r>
        <w:separator/>
      </w:r>
    </w:p>
  </w:endnote>
  <w:endnote w:type="continuationSeparator" w:id="0">
    <w:p w:rsidR="00DC493B" w:rsidRDefault="00DC493B" w:rsidP="00D1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3B" w:rsidRDefault="00DC493B" w:rsidP="00D16C1E">
      <w:pPr>
        <w:spacing w:after="0" w:line="240" w:lineRule="auto"/>
      </w:pPr>
      <w:r>
        <w:separator/>
      </w:r>
    </w:p>
  </w:footnote>
  <w:footnote w:type="continuationSeparator" w:id="0">
    <w:p w:rsidR="00DC493B" w:rsidRDefault="00DC493B" w:rsidP="00D1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40602"/>
      <w:docPartObj>
        <w:docPartGallery w:val="Page Numbers (Top of Page)"/>
        <w:docPartUnique/>
      </w:docPartObj>
    </w:sdtPr>
    <w:sdtEndPr/>
    <w:sdtContent>
      <w:p w:rsidR="00D16C1E" w:rsidRDefault="00D16C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CE" w:rsidRPr="00BF3FCE">
          <w:rPr>
            <w:noProof/>
            <w:lang w:val="ru-RU"/>
          </w:rPr>
          <w:t>2</w:t>
        </w:r>
        <w:r>
          <w:fldChar w:fldCharType="end"/>
        </w:r>
      </w:p>
    </w:sdtContent>
  </w:sdt>
  <w:p w:rsidR="00D16C1E" w:rsidRDefault="00D16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1E"/>
    <w:rsid w:val="000D7E1B"/>
    <w:rsid w:val="006C7DBB"/>
    <w:rsid w:val="007B48CB"/>
    <w:rsid w:val="00901647"/>
    <w:rsid w:val="00BF3FCE"/>
    <w:rsid w:val="00D16C1E"/>
    <w:rsid w:val="00D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049A"/>
  <w15:chartTrackingRefBased/>
  <w15:docId w15:val="{2DEFA3F8-B99F-49C8-89BB-53A6C146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C1E"/>
  </w:style>
  <w:style w:type="paragraph" w:styleId="a5">
    <w:name w:val="footer"/>
    <w:basedOn w:val="a"/>
    <w:link w:val="a6"/>
    <w:uiPriority w:val="99"/>
    <w:unhideWhenUsed/>
    <w:rsid w:val="00D16C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4825</Words>
  <Characters>2751</Characters>
  <Application>Microsoft Office Word</Application>
  <DocSecurity>0</DocSecurity>
  <Lines>22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2022-01-25T07:40:00Z</dcterms:created>
  <dcterms:modified xsi:type="dcterms:W3CDTF">2022-01-28T11:07:00Z</dcterms:modified>
</cp:coreProperties>
</file>