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9D" w:rsidRPr="00560393" w:rsidRDefault="001B4D9D" w:rsidP="001B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Комунальне некомерційне медичне підприємство</w:t>
      </w:r>
    </w:p>
    <w:p w:rsidR="001B4D9D" w:rsidRPr="00560393" w:rsidRDefault="001B4D9D" w:rsidP="001B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РОГАТИНСЬКА ЦЕНТРАЛЬНА РАЙОННА ЛІКАРНЯ </w:t>
      </w:r>
    </w:p>
    <w:p w:rsidR="001B4D9D" w:rsidRPr="00560393" w:rsidRDefault="001B4D9D" w:rsidP="001B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 xml:space="preserve">77001 вул. </w:t>
      </w:r>
      <w:proofErr w:type="spellStart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Чорновола</w:t>
      </w:r>
      <w:proofErr w:type="spellEnd"/>
      <w:r w:rsidRPr="00560393">
        <w:rPr>
          <w:rFonts w:ascii="Times New Roman" w:eastAsia="Times New Roman" w:hAnsi="Times New Roman" w:cs="Times New Roman"/>
          <w:b/>
          <w:sz w:val="28"/>
          <w:szCs w:val="28"/>
        </w:rPr>
        <w:t>, 9,  м. Рогатин,  Івано-Франківська обл.</w:t>
      </w:r>
    </w:p>
    <w:p w:rsidR="007E188A" w:rsidRPr="001B4D9D" w:rsidRDefault="007E188A" w:rsidP="001B4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</w:rPr>
      </w:pPr>
    </w:p>
    <w:p w:rsidR="007E188A" w:rsidRDefault="007E188A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7E188A" w:rsidRDefault="00A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7E188A" w:rsidRDefault="00AF2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7E188A" w:rsidRDefault="00AF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7E188A" w:rsidRDefault="007E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564"/>
        <w:gridCol w:w="2470"/>
        <w:gridCol w:w="2614"/>
        <w:gridCol w:w="3309"/>
        <w:gridCol w:w="3346"/>
      </w:tblGrid>
      <w:tr w:rsidR="007E188A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88A" w:rsidRDefault="007E18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188A" w:rsidRDefault="007E18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188A" w:rsidRDefault="007E18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188A" w:rsidRDefault="007E18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188A" w:rsidRDefault="007E18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E188A" w:rsidRDefault="007E18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7E188A" w:rsidRDefault="00AF25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8A" w:rsidRDefault="00AF25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7E188A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88A" w:rsidRDefault="007E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88A" w:rsidRDefault="007E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188A" w:rsidRDefault="007E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88A" w:rsidRDefault="007E1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7E188A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8A" w:rsidRDefault="007E188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8A" w:rsidRDefault="00AF25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E188A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D9D" w:rsidRPr="001B4D9D" w:rsidRDefault="001B4D9D" w:rsidP="001B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«ДК 021:2015 –33600000-6 Фармацевтична продукція»</w:t>
            </w:r>
          </w:p>
          <w:p w:rsidR="001B4D9D" w:rsidRPr="001B4D9D" w:rsidRDefault="001B4D9D" w:rsidP="001B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Alteplase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Antral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Articaine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combinations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Meldonium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Warfarin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Vitamin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B1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combination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with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vitamin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B6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vitamin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B12,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Heparin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Arginine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glutamate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Escitalopram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Digoxin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Isosorbide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dinitrate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Thioctic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acid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Urapidil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Isosorbide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dinitrate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Quetiapine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Dexketoprofen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Aprotinin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Comb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drug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Acetylsalicylic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acid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Ipidacrine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Choline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alfoscerate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Phenylephrine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Paroxetine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Terlipressin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Arginine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hydrochloride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Amisulpride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Comb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drug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Spironolactone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Comb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drug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Clopidogrel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Nifedipine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Iron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parenteral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preparations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Mono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7E188A" w:rsidRDefault="001B4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Pr="001B4D9D" w:rsidRDefault="001B4D9D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1739000.00 (Один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мільйон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сімсот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тридцять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дев'ять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тисяч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гривень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00 </w:t>
            </w:r>
            <w:proofErr w:type="spellStart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копійок</w:t>
            </w:r>
            <w:proofErr w:type="spellEnd"/>
            <w:r w:rsidRPr="001B4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B4D9D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E188A" w:rsidRDefault="001B4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D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UA-2023-03-22-011916-a</w:t>
            </w:r>
            <w:r w:rsidRPr="001B4D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8A" w:rsidRDefault="00A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 час визначення вимог щодо підтвердження якості лікарського засобу враховуються вимоги Закону України «Про лікарські засоби» із змінами та доповненнями. Лікарські засоби пов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ованих лікарських засобів – висновок про якість ввезеного в Україну лікарського засобу). Якісні та технічні характеристики заявленої кількості лікарських засобів визначені з урахуванням реальних потреб підприємства та оптимального співвідношення ціни та як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ості.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88A" w:rsidRDefault="00A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.2020  № 275. </w:t>
            </w:r>
          </w:p>
          <w:p w:rsidR="007E188A" w:rsidRDefault="007E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188A" w:rsidRDefault="00A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AF25C8" w:rsidRDefault="00AF25C8" w:rsidP="00AF25C8">
            <w:bookmarkStart w:id="0" w:name="_GoBack"/>
            <w:bookmarkEnd w:id="0"/>
          </w:p>
          <w:p w:rsidR="007E188A" w:rsidRDefault="00AF2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Очікувана вартість закупівлі формувалась із середніх цін комерційних пропозицій, наданих суб’єктами господарювання</w:t>
            </w:r>
          </w:p>
        </w:tc>
      </w:tr>
    </w:tbl>
    <w:p w:rsidR="007E188A" w:rsidRDefault="00AF25C8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>
        <w:lastRenderedPageBreak/>
        <w:t xml:space="preserve">                </w:t>
      </w:r>
      <w:r>
        <w:rPr>
          <w:b/>
          <w:sz w:val="28"/>
          <w:szCs w:val="28"/>
        </w:rPr>
        <w:t xml:space="preserve">   </w:t>
      </w:r>
    </w:p>
    <w:sectPr w:rsidR="007E188A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8A"/>
    <w:rsid w:val="001B4D9D"/>
    <w:rsid w:val="007E188A"/>
    <w:rsid w:val="00A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0E88"/>
  <w15:docId w15:val="{E1506A5C-61D3-44EB-9315-ECFF1451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Василь Кривень</cp:lastModifiedBy>
  <cp:revision>2</cp:revision>
  <dcterms:created xsi:type="dcterms:W3CDTF">2022-08-29T13:17:00Z</dcterms:created>
  <dcterms:modified xsi:type="dcterms:W3CDTF">2023-03-23T08:23:00Z</dcterms:modified>
</cp:coreProperties>
</file>