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BE" w:rsidRPr="004470BE" w:rsidRDefault="004470BE" w:rsidP="004470BE">
      <w:pPr>
        <w:spacing w:after="0" w:line="240" w:lineRule="auto"/>
        <w:rPr>
          <w:rFonts w:ascii="Arial" w:eastAsia="SimSun" w:hAnsi="Arial" w:cs="Times New Roman"/>
          <w:snapToGrid w:val="0"/>
          <w:sz w:val="24"/>
          <w:szCs w:val="24"/>
          <w:lang w:val="uk-UA" w:eastAsia="ru-RU"/>
        </w:rPr>
      </w:pPr>
      <w:r w:rsidRPr="004470BE">
        <w:rPr>
          <w:rFonts w:ascii="Times New Roman" w:eastAsia="Times New Roman" w:hAnsi="Times New Roman" w:cs="Times New Roman"/>
          <w:noProof/>
          <w:snapToGrid w:val="0"/>
          <w:sz w:val="20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-9525</wp:posOffset>
            </wp:positionV>
            <wp:extent cx="5715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0BE" w:rsidRPr="004470BE" w:rsidRDefault="004470BE" w:rsidP="004470BE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4470BE" w:rsidRPr="004470BE" w:rsidRDefault="004470BE" w:rsidP="004470BE">
      <w:pPr>
        <w:keepNext/>
        <w:tabs>
          <w:tab w:val="center" w:pos="4819"/>
          <w:tab w:val="left" w:pos="843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4470BE"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eastAsia="ru-RU"/>
        </w:rPr>
        <w:tab/>
      </w:r>
      <w:r w:rsidRPr="004470BE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0BE" w:rsidRDefault="004470BE" w:rsidP="004470BE">
                            <w:r>
                              <w:t xml:space="preserve">       </w:t>
                            </w:r>
                          </w:p>
                          <w:p w:rsidR="004470BE" w:rsidRDefault="004470BE" w:rsidP="00447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" o:allowincell="f" filled="f" stroked="f">
                <v:textbox>
                  <w:txbxContent>
                    <w:p w:rsidR="004470BE" w:rsidRDefault="004470BE" w:rsidP="004470BE">
                      <w:r>
                        <w:t xml:space="preserve">       </w:t>
                      </w:r>
                    </w:p>
                    <w:p w:rsidR="004470BE" w:rsidRDefault="004470BE" w:rsidP="004470BE"/>
                  </w:txbxContent>
                </v:textbox>
              </v:shape>
            </w:pict>
          </mc:Fallback>
        </mc:AlternateContent>
      </w:r>
    </w:p>
    <w:p w:rsidR="004470BE" w:rsidRPr="004470BE" w:rsidRDefault="004470BE" w:rsidP="004470BE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РОГАТИНСЬКА    МІСЬКА  РАДА</w:t>
      </w:r>
    </w:p>
    <w:p w:rsidR="004470BE" w:rsidRPr="004470BE" w:rsidRDefault="004470BE" w:rsidP="004470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4470B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ІВАНО-ФРАНКІВСЬКА ОБЛАСТЬ</w:t>
      </w:r>
    </w:p>
    <w:p w:rsidR="004470BE" w:rsidRPr="004470BE" w:rsidRDefault="004470BE" w:rsidP="004470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val="uk-UA" w:eastAsia="ru-RU"/>
        </w:rPr>
      </w:pPr>
      <w:r w:rsidRPr="004470BE">
        <w:rPr>
          <w:rFonts w:ascii="Times New Roman" w:eastAsia="Times New Roman" w:hAnsi="Times New Roman" w:cs="Times New Roman"/>
          <w:b/>
          <w:snapToGrid w:val="0"/>
          <w:sz w:val="28"/>
          <w:szCs w:val="24"/>
          <w:lang w:val="uk-UA" w:eastAsia="ru-RU"/>
        </w:rPr>
        <w:t>ВИКОНАВЧИЙ КОМІТЕТ</w:t>
      </w: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РОЗПОРЯДЖЕННЯ МІСЬКОГО ГОЛОВИ</w:t>
      </w:r>
    </w:p>
    <w:p w:rsidR="004470BE" w:rsidRPr="004470BE" w:rsidRDefault="004470BE" w:rsidP="004470BE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val="uk-UA" w:eastAsia="ru-RU"/>
        </w:rPr>
      </w:pPr>
      <w:r w:rsidRPr="004470BE">
        <w:rPr>
          <w:rFonts w:ascii="Times New Roman" w:eastAsia="Batang" w:hAnsi="Times New Roman" w:cs="Times New Roman"/>
          <w:snapToGrid w:val="0"/>
          <w:sz w:val="28"/>
          <w:szCs w:val="24"/>
          <w:lang w:val="uk-UA" w:eastAsia="ru-RU"/>
        </w:rPr>
        <w:t xml:space="preserve">  </w:t>
      </w:r>
    </w:p>
    <w:p w:rsidR="004470BE" w:rsidRPr="004470BE" w:rsidRDefault="004470BE" w:rsidP="00447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від 03 лип</w:t>
      </w:r>
      <w:r w:rsidRPr="00447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ня 2023 року                                           </w:t>
      </w:r>
      <w:r w:rsidR="005045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151</w:t>
      </w:r>
      <w:r w:rsidRPr="00447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-р</w:t>
      </w:r>
    </w:p>
    <w:p w:rsidR="004470BE" w:rsidRPr="004470BE" w:rsidRDefault="004470BE" w:rsidP="00447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</w:t>
      </w:r>
      <w:proofErr w:type="spellStart"/>
      <w:r w:rsidRPr="00447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м.Рогатин</w:t>
      </w:r>
      <w:proofErr w:type="spellEnd"/>
    </w:p>
    <w:p w:rsidR="004470BE" w:rsidRPr="004470BE" w:rsidRDefault="004470BE" w:rsidP="00447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</w:t>
      </w:r>
    </w:p>
    <w:p w:rsidR="00C12F9A" w:rsidRDefault="004470BE" w:rsidP="00447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Про утворення</w:t>
      </w:r>
    </w:p>
    <w:p w:rsidR="004470BE" w:rsidRDefault="004470BE" w:rsidP="00447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Координаційного</w:t>
      </w:r>
      <w:r w:rsidRPr="004470BE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7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70BE" w:rsidRDefault="004470BE" w:rsidP="00447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470BE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цивільного </w:t>
      </w:r>
    </w:p>
    <w:p w:rsidR="00C12F9A" w:rsidRDefault="004470BE" w:rsidP="00447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470BE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</w:p>
    <w:p w:rsidR="004470BE" w:rsidRPr="004470BE" w:rsidRDefault="004470BE" w:rsidP="00447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2F9A" w:rsidRPr="004470BE" w:rsidRDefault="00C12F9A" w:rsidP="00C12F9A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70BE">
        <w:rPr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 «Про правовий режим воєнного стану”, відповідно до указів Президента України від 24 лютого 2022 року № 64/2022 , «Про введення воєнного стану в Україні», від 1 травня 2023 року № 254/2023, «Про продовження строку дії воєнного стану в Україні», постанови Кабінету Міністрів України від 9 травня 2023 р. № 470 «Про координаційні центри підтримки цивільного населення», з метою 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особам,</w:t>
      </w:r>
    </w:p>
    <w:p w:rsidR="00C12F9A" w:rsidRPr="004470BE" w:rsidRDefault="004470BE" w:rsidP="00C12F9A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12F9A" w:rsidRPr="004470BE">
        <w:rPr>
          <w:color w:val="000000"/>
          <w:sz w:val="28"/>
          <w:szCs w:val="28"/>
          <w:lang w:val="uk-UA"/>
        </w:rPr>
        <w:t xml:space="preserve">Утворити Координаційний центр підтримки цивільного населення </w:t>
      </w:r>
      <w:proofErr w:type="spellStart"/>
      <w:r w:rsidR="00C12F9A" w:rsidRPr="00C12F9A">
        <w:rPr>
          <w:color w:val="000000"/>
          <w:sz w:val="28"/>
          <w:szCs w:val="28"/>
          <w:lang w:val="uk-UA"/>
        </w:rPr>
        <w:t>Рогатинської</w:t>
      </w:r>
      <w:proofErr w:type="spellEnd"/>
      <w:r w:rsidR="00C12F9A" w:rsidRPr="004470BE">
        <w:rPr>
          <w:color w:val="000000"/>
          <w:sz w:val="28"/>
          <w:szCs w:val="28"/>
          <w:lang w:val="uk-UA"/>
        </w:rPr>
        <w:t xml:space="preserve"> міської територіальної громади у складі</w:t>
      </w:r>
      <w:r>
        <w:rPr>
          <w:color w:val="000000"/>
          <w:sz w:val="28"/>
          <w:szCs w:val="28"/>
          <w:lang w:val="uk-UA"/>
        </w:rPr>
        <w:t>,</w:t>
      </w:r>
      <w:r w:rsidR="00C12F9A" w:rsidRPr="004470BE">
        <w:rPr>
          <w:color w:val="000000"/>
          <w:sz w:val="28"/>
          <w:szCs w:val="28"/>
          <w:lang w:val="uk-UA"/>
        </w:rPr>
        <w:t xml:space="preserve"> згідно з додатком 1.</w:t>
      </w:r>
    </w:p>
    <w:p w:rsidR="00C12F9A" w:rsidRPr="004470BE" w:rsidRDefault="004470BE" w:rsidP="00C12F9A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C12F9A" w:rsidRPr="004470BE">
        <w:rPr>
          <w:color w:val="000000"/>
          <w:sz w:val="28"/>
          <w:szCs w:val="28"/>
          <w:lang w:val="uk-UA"/>
        </w:rPr>
        <w:t xml:space="preserve">Затвердити положення про Координаційний центр підтримки цивільного населення </w:t>
      </w:r>
      <w:proofErr w:type="spellStart"/>
      <w:r w:rsidR="00C12F9A" w:rsidRPr="00C12F9A">
        <w:rPr>
          <w:color w:val="000000"/>
          <w:sz w:val="28"/>
          <w:szCs w:val="28"/>
          <w:lang w:val="uk-UA"/>
        </w:rPr>
        <w:t>Рогатинської</w:t>
      </w:r>
      <w:proofErr w:type="spellEnd"/>
      <w:r w:rsidR="00C12F9A" w:rsidRPr="004470BE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color w:val="000000"/>
          <w:sz w:val="28"/>
          <w:szCs w:val="28"/>
          <w:lang w:val="uk-UA"/>
        </w:rPr>
        <w:t>,</w:t>
      </w:r>
      <w:r w:rsidR="00C12F9A" w:rsidRPr="004470BE">
        <w:rPr>
          <w:color w:val="000000"/>
          <w:sz w:val="28"/>
          <w:szCs w:val="28"/>
          <w:lang w:val="uk-UA"/>
        </w:rPr>
        <w:t xml:space="preserve"> згідно з додатком 2.</w:t>
      </w:r>
    </w:p>
    <w:p w:rsidR="00C12F9A" w:rsidRPr="00C12F9A" w:rsidRDefault="004470BE" w:rsidP="00C12F9A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C12F9A" w:rsidRPr="00C12F9A">
        <w:rPr>
          <w:color w:val="000000"/>
          <w:sz w:val="28"/>
          <w:szCs w:val="28"/>
          <w:lang w:val="ru-RU"/>
        </w:rPr>
        <w:t xml:space="preserve">Контроль по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виконанню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даного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розпорядження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покласти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на заступника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міського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12F9A" w:rsidRPr="00C12F9A">
        <w:rPr>
          <w:color w:val="000000"/>
          <w:sz w:val="28"/>
          <w:szCs w:val="28"/>
          <w:lang w:val="ru-RU"/>
        </w:rPr>
        <w:t>голови</w:t>
      </w:r>
      <w:proofErr w:type="spellEnd"/>
      <w:r w:rsidR="00C12F9A" w:rsidRPr="00C12F9A">
        <w:rPr>
          <w:color w:val="000000"/>
          <w:sz w:val="28"/>
          <w:szCs w:val="28"/>
          <w:lang w:val="ru-RU"/>
        </w:rPr>
        <w:t xml:space="preserve"> Богдана ДЕНЕГУ.</w:t>
      </w:r>
    </w:p>
    <w:p w:rsidR="00C12F9A" w:rsidRPr="00C12F9A" w:rsidRDefault="00C12F9A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2F9A" w:rsidRPr="00C12F9A" w:rsidRDefault="00C12F9A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0BE3" w:rsidRDefault="00C12F9A" w:rsidP="00C12F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12F9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70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C12F9A">
        <w:rPr>
          <w:rFonts w:ascii="Times New Roman" w:hAnsi="Times New Roman" w:cs="Times New Roman"/>
          <w:sz w:val="28"/>
          <w:szCs w:val="28"/>
          <w:lang w:val="uk-UA"/>
        </w:rPr>
        <w:t>Сергій  НАСАЛИК</w:t>
      </w:r>
    </w:p>
    <w:p w:rsidR="004470BE" w:rsidRPr="004470BE" w:rsidRDefault="004470BE" w:rsidP="004470BE">
      <w:pPr>
        <w:spacing w:after="0" w:line="240" w:lineRule="auto"/>
        <w:ind w:left="469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:rsidR="004470BE" w:rsidRPr="004470BE" w:rsidRDefault="004470BE" w:rsidP="004470BE">
      <w:pPr>
        <w:spacing w:after="0" w:line="240" w:lineRule="auto"/>
        <w:ind w:left="469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розпорядження </w:t>
      </w:r>
    </w:p>
    <w:p w:rsidR="004470BE" w:rsidRPr="004470BE" w:rsidRDefault="004470BE" w:rsidP="004470BE">
      <w:pPr>
        <w:spacing w:after="0" w:line="240" w:lineRule="auto"/>
        <w:ind w:left="4956" w:firstLine="4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4470BE" w:rsidRPr="004470BE" w:rsidRDefault="005045C7" w:rsidP="004470BE">
      <w:pPr>
        <w:spacing w:after="0" w:line="240" w:lineRule="auto"/>
        <w:ind w:left="4956" w:firstLine="4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№151</w:t>
      </w:r>
      <w:r w:rsidR="004470BE"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 від 03.07.2023 року</w:t>
      </w: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координаційного центру підтримки цивільного населення при</w:t>
      </w: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раді</w:t>
      </w: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47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Координаційного центру:</w:t>
      </w:r>
    </w:p>
    <w:p w:rsidR="004470BE" w:rsidRPr="004470BE" w:rsidRDefault="004470BE" w:rsidP="004470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510"/>
        <w:gridCol w:w="5529"/>
      </w:tblGrid>
      <w:tr w:rsidR="004470BE" w:rsidRPr="004470BE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НАСАЛИК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Сергій Степанович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міський голова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4470BE" w:rsidRPr="004470BE" w:rsidTr="005239BA">
        <w:tc>
          <w:tcPr>
            <w:tcW w:w="9039" w:type="dxa"/>
            <w:gridSpan w:val="2"/>
          </w:tcPr>
          <w:p w:rsid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Заступник керівника Координаційного центру: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4470BE" w:rsidRPr="004470BE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ДЕНЕГА</w:t>
            </w:r>
          </w:p>
          <w:p w:rsid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Богдан Михайлович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4470BE" w:rsidRPr="004470BE" w:rsidTr="005239BA">
        <w:tc>
          <w:tcPr>
            <w:tcW w:w="9039" w:type="dxa"/>
            <w:gridSpan w:val="2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Координаційного центру: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ОШИТКО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Роман Степанович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соціальної роботи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</w:tr>
      <w:tr w:rsidR="004470BE" w:rsidRPr="004470BE" w:rsidTr="005239BA">
        <w:tc>
          <w:tcPr>
            <w:tcW w:w="9039" w:type="dxa"/>
            <w:gridSpan w:val="2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Персональний склад Координаційного центру: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4470BE" w:rsidRPr="004470BE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ПАНЬКІВ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Руслан Ігорович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иректор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КН</w:t>
            </w: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</w:t>
            </w: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 «Рогатинська ЦРЛ»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ДЕНИСЮК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</w:pPr>
            <w:proofErr w:type="spellStart"/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Віктор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Миронович</w:t>
            </w:r>
            <w:proofErr w:type="spellEnd"/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головний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лікар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КНП «Рогатинський центр ПМ-СД»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БИЛО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Людмила Вікторівна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 КУ «Центр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соціальних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служб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ради»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ТРАЧ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Василь Іванович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в. о. начальника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відділу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освіти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ради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БАЗИЛЕВИЧ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Ірина Ярославівна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служби у справах дітей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lastRenderedPageBreak/>
              <w:t xml:space="preserve">ЖЕНЧУК 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Марія Тарасівна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КУ «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Інклюзивно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-ресурсний центр»</w:t>
            </w: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СЕРДЮК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Василь Юрійович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начальник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відділу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публічної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інформації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електронного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документообліку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ради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70BE" w:rsidRPr="005045C7" w:rsidTr="005239BA">
        <w:tc>
          <w:tcPr>
            <w:tcW w:w="3510" w:type="dxa"/>
          </w:tcPr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КОСТЬ</w:t>
            </w:r>
          </w:p>
          <w:p w:rsidR="004470BE" w:rsidRPr="004470BE" w:rsidRDefault="004470BE" w:rsidP="0044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4470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Світлана Василівна</w:t>
            </w:r>
          </w:p>
        </w:tc>
        <w:tc>
          <w:tcPr>
            <w:tcW w:w="5529" w:type="dxa"/>
          </w:tcPr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470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  <w:p w:rsidR="004470BE" w:rsidRPr="004470BE" w:rsidRDefault="004470BE" w:rsidP="004470BE">
            <w:pPr>
              <w:tabs>
                <w:tab w:val="left" w:pos="5313"/>
                <w:tab w:val="left" w:pos="542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470BE" w:rsidRPr="004470BE" w:rsidRDefault="004470BE" w:rsidP="00447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470BE" w:rsidRPr="004470BE" w:rsidRDefault="004470BE" w:rsidP="004470BE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ВОВКУН</w:t>
      </w: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70BE" w:rsidRPr="004470BE" w:rsidRDefault="004470BE" w:rsidP="004470BE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Додаток 2</w:t>
      </w:r>
    </w:p>
    <w:p w:rsidR="004470BE" w:rsidRPr="004470BE" w:rsidRDefault="004470BE" w:rsidP="004470BE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розпорядження</w:t>
      </w:r>
    </w:p>
    <w:p w:rsidR="004470BE" w:rsidRPr="004470BE" w:rsidRDefault="004470BE" w:rsidP="004470BE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/>
        </w:rPr>
      </w:pPr>
      <w:r w:rsidRPr="0044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міського голови</w:t>
      </w:r>
    </w:p>
    <w:p w:rsidR="004470BE" w:rsidRPr="004470BE" w:rsidRDefault="005045C7" w:rsidP="004470B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151</w:t>
      </w:r>
      <w:r w:rsidR="004470BE" w:rsidRPr="004470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  від 03.07.2023  року</w:t>
      </w: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Pr="00447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про координаційний центр підтримки цивільного населення при </w:t>
      </w:r>
      <w:proofErr w:type="spellStart"/>
      <w:r w:rsidRPr="00447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Рогатинській</w:t>
      </w:r>
      <w:proofErr w:type="spellEnd"/>
      <w:r w:rsidRPr="00447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міській раді</w:t>
      </w:r>
    </w:p>
    <w:p w:rsidR="004470BE" w:rsidRPr="004470BE" w:rsidRDefault="004470BE" w:rsidP="0044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Координаційний центр підтримки цивільного населення при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раді (далі – Координаційний центр) є консультативно-дорадчим органом при обласній державній (військовій) адміністрації, який утворюється для 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 (далі –  постраждале населення), забезпечення ефективної взаємодії між органами виконавчої влади, правоохоронними та іншими державними органами, органами місцевого самоврядування, громадськими об’єднаннями, організаціями та установами, що залучають до своєї діяльності волонтерів, волонтерами, представництвами в Україні міжнародних гуманітарних організацій під час вирішення питань щодо соціального захисту, забезпечення житлом та зайнятості постраждалого населення, надання психосоціальної, медичної та правової допомоги постраждалому населенню (далі – проблемні питання постраждалого населення).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n13"/>
      <w:bookmarkEnd w:id="0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Координаційний центр у своїй діяльності керується Конституцією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розпорядженнями міського голови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а також цим положенням.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14"/>
      <w:bookmarkEnd w:id="1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Діяльність Координаційного центру ґрунтується на принципах верховенства права, законності, гласності, відкритості, відповідальності, гендерної рівності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15"/>
      <w:bookmarkEnd w:id="2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є: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16"/>
      <w:bookmarkEnd w:id="3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забезпеченню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залучають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волонтерів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волонтерами,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представництвами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17"/>
      <w:bookmarkEnd w:id="4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нагальних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18"/>
      <w:bookmarkEnd w:id="5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 збір та узагальнення інформації щодо спроможності територіальних громад у задоволенні невідкладних потреб та вирішенні проблемних питань постраждалого населення, зокрема щодо кадрових, матеріальних, технологічних ресурсів об’єктів державної та комунальної форми власності, громадських ініціатив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міжнародної гуманітарної допомоги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МТГ для забезпечення доступності постраждалого населення до всіх наявних в громаді психосоціальних, медичних, освітніх, правових та інших послуг;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19"/>
      <w:bookmarkEnd w:id="6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надавачів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20"/>
      <w:bookmarkEnd w:id="7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відповідних регіональних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21"/>
      <w:bookmarkEnd w:id="8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22"/>
      <w:bookmarkEnd w:id="9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консультаційна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23"/>
      <w:bookmarkEnd w:id="10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консультативно-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дорадчими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24"/>
      <w:bookmarkEnd w:id="11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 визначення шляхів і способів вирішення проблемних питань постраждалого населення, підготовка та подання відповідних пропозицій керівництву Івано-Франківської обласної державної (військової) адміністрації;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n25"/>
      <w:bookmarkEnd w:id="12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інформування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та стану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26"/>
      <w:bookmarkEnd w:id="13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для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27"/>
      <w:bookmarkEnd w:id="14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залучають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волонтерів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волонтерами,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28"/>
      <w:bookmarkEnd w:id="15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проводить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шляхи і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n29"/>
      <w:bookmarkEnd w:id="16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 проводить моніторинг та узагальнення інформації щодо спроможності територіальних громад у задоволенні невідкладних потреб та вирішенні проблемних питань постраждалого населення, зокрема щодо кадрових,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матеріальних, технологічних ресурсів об’єктів державної та комунальної форми власності, громадських ініціатив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міжнародної гуманітарної допомоги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МТГ для забезпечення доступності постраждалого населення до всіх наявних у регіоні психосоціальних, медичних, освітніх, правових та інших послуг; готує пропозиції щодо подальшого співробітництва з міжнародними гуманітарними організаціями;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7" w:name="n30"/>
      <w:bookmarkEnd w:id="17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 надає консультаційну підтримку;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n31"/>
      <w:bookmarkEnd w:id="18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 проводить інформаційно-роз’яснювальну роботу з представ-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громадських об’єднань, організаціями та установами, що залучають до своєї діяльності волонтерів, волонтерами, організовує освітні заходи;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32"/>
      <w:bookmarkEnd w:id="19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 проводить моніторинг, узагальнює та подає голові Івано-Франківської обласної державної адміністрації – начальнику обласної військової адміністрації інформацію щодо пропозицій міжнародних гуманітарних організацій, громадських об’єднань, організацій та установ, що залучають до своєї діяльності волонтерів, стосовно вирішення проблемних питань постраждалого населення;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проводить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справ та причин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виникнення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bookmarkStart w:id="20" w:name="n33"/>
      <w:bookmarkEnd w:id="20"/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шляхи і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1" w:name="n34"/>
      <w:bookmarkEnd w:id="21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 вивчає результати діяльності органів виконавчої влади, інших державних органів, органів місцевого самоврядування, підприємств, установ та організацій незалежно від форми власності з питань, що належать до його компетенції;</w:t>
      </w:r>
      <w:bookmarkStart w:id="22" w:name="n35"/>
      <w:bookmarkEnd w:id="22"/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 інформує в обов’язковому порядку громадськість, Івано-Франківську обласну державну (військову) адміністрацію про свою діяльність, ухвалені рекомендації та їх виконання;</w:t>
      </w:r>
      <w:bookmarkStart w:id="23" w:name="n36"/>
      <w:bookmarkEnd w:id="23"/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 подає голові Івано-Франківської обласної державної адміністрації – начальнику обласної військової адміністрації розроблені за результатами своєї роботи рекомендації.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4" w:name="n37"/>
      <w:bookmarkEnd w:id="24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5" w:name="n38"/>
      <w:bookmarkEnd w:id="25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запитувати та отримувати від органів виконавчої влади та інших державних органів, органів місцевого самоврядування, громадських об’єднань, підприємств, установ та організацій незалежно від форми власності, зокрема представництв в Україні міжнародних гуманітарних організацій, інформацію, необхідну для вирішення проблемних питань постраждалого населення, а також у фізичних осіб за їх згодою – документи, інформацію та матеріали;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39"/>
      <w:bookmarkEnd w:id="26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запрошувати на свої засідання керівників і представників органів виконавчої влади, правоохоронних та інших державних органів, органів місцевого самоврядування, громадських об’єднань, підприємств, установ та організацій незалежно від форми власності;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40"/>
      <w:bookmarkEnd w:id="27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8" w:name="n41"/>
      <w:bookmarkEnd w:id="28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створювати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цілодобові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телефонні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гарячі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9" w:name="n42"/>
      <w:bookmarkEnd w:id="29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знеособлені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надійшли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цілодобові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телефонні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гарячі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0" w:name="n43"/>
      <w:bookmarkEnd w:id="30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разом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для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n44"/>
      <w:bookmarkEnd w:id="31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7)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організовувати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круглим столом,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брифінги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n45"/>
      <w:bookmarkEnd w:id="32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Start w:id="33" w:name="n46"/>
      <w:bookmarkEnd w:id="33"/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Посадовий та персональний с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клад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міським головою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proofErr w:type="gram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шляхом</w:t>
      </w:r>
      <w:proofErr w:type="gram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видання відповідного розпорядження.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4" w:name="n47"/>
      <w:bookmarkEnd w:id="34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 Очолює Координаційний центр міський голова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 Керівник Координаційного центру здійснює загальне керівництво діяльністю Координаційного центру.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5" w:name="n48"/>
      <w:bookmarkEnd w:id="35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Координаційного центру: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6" w:name="n50"/>
      <w:bookmarkEnd w:id="36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здійснює керівництво діяльністю Координаційного центру;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51"/>
      <w:bookmarkEnd w:id="37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членам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52"/>
      <w:bookmarkEnd w:id="38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головує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них;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9" w:name="n53"/>
      <w:bookmarkEnd w:id="39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відносинах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представництвами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54"/>
      <w:bookmarkEnd w:id="40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gram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складу</w:t>
      </w:r>
      <w:proofErr w:type="gram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входять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посадою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складу також можуть входити представники інших структурних підрозділів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підприємств, установ та організацій (за згодою).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1" w:name="n55"/>
      <w:bookmarkEnd w:id="41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Формою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є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потреби, але не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рідше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раз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2" w:name="n56"/>
      <w:bookmarkEnd w:id="42"/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3" w:name="n57"/>
      <w:bookmarkEnd w:id="43"/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вважається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правоможним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ньому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половина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5045C7" w:rsidRDefault="004470BE" w:rsidP="0050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4" w:name="n58"/>
      <w:bookmarkEnd w:id="44"/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Керівник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реального часу з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Інтернет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участь члена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такому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Start w:id="45" w:name="n59"/>
      <w:bookmarkStart w:id="46" w:name="_GoBack"/>
      <w:bookmarkEnd w:id="45"/>
      <w:bookmarkEnd w:id="46"/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12.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центр: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7" w:name="n60"/>
      <w:bookmarkEnd w:id="47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приймає запропоновані до розгляду органами виконавчої влади та структурними підрозділами виконавчого комітету рекомендації, які реалізуються шляхом видання розпорядження міського голови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bookmarkStart w:id="48" w:name="n61"/>
      <w:bookmarkEnd w:id="48"/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запропоновані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структурними підрозділами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9" w:name="n62"/>
      <w:bookmarkEnd w:id="49"/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вважаються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схваленими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них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половина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присутніх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0" w:name="n63"/>
      <w:bookmarkEnd w:id="50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голосів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вирішальним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голос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1" w:name="n64"/>
      <w:bookmarkEnd w:id="51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фіксуються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протоколі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підписується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та секретарем,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надсилається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усім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членам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Координаційного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центру.</w:t>
      </w:r>
    </w:p>
    <w:p w:rsidR="004470BE" w:rsidRPr="004470BE" w:rsidRDefault="004470BE" w:rsidP="00447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2" w:name="n65"/>
      <w:bookmarkEnd w:id="52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 Організаційне, інформаційне та матеріально-технічне забезпечення діяльності Координаційного центру здійснюється відділом соціальної роботи </w:t>
      </w:r>
      <w:proofErr w:type="spellStart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4470BE" w:rsidRPr="004470BE" w:rsidRDefault="004470BE" w:rsidP="00447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70BE" w:rsidRPr="004470BE" w:rsidRDefault="004470BE" w:rsidP="00447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470BE" w:rsidRPr="004470BE" w:rsidRDefault="004470BE" w:rsidP="004470BE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447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ВОВКУН</w:t>
      </w:r>
    </w:p>
    <w:p w:rsidR="004470BE" w:rsidRPr="00C12F9A" w:rsidRDefault="004470BE" w:rsidP="00C12F9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70BE" w:rsidRPr="00C12F9A" w:rsidSect="004470BE">
      <w:headerReference w:type="default" r:id="rId8"/>
      <w:pgSz w:w="12240" w:h="15840"/>
      <w:pgMar w:top="1134" w:right="6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13" w:rsidRDefault="00CE7A13" w:rsidP="004470BE">
      <w:pPr>
        <w:spacing w:after="0" w:line="240" w:lineRule="auto"/>
      </w:pPr>
      <w:r>
        <w:separator/>
      </w:r>
    </w:p>
  </w:endnote>
  <w:endnote w:type="continuationSeparator" w:id="0">
    <w:p w:rsidR="00CE7A13" w:rsidRDefault="00CE7A13" w:rsidP="0044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13" w:rsidRDefault="00CE7A13" w:rsidP="004470BE">
      <w:pPr>
        <w:spacing w:after="0" w:line="240" w:lineRule="auto"/>
      </w:pPr>
      <w:r>
        <w:separator/>
      </w:r>
    </w:p>
  </w:footnote>
  <w:footnote w:type="continuationSeparator" w:id="0">
    <w:p w:rsidR="00CE7A13" w:rsidRDefault="00CE7A13" w:rsidP="0044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18676"/>
      <w:docPartObj>
        <w:docPartGallery w:val="Page Numbers (Top of Page)"/>
        <w:docPartUnique/>
      </w:docPartObj>
    </w:sdtPr>
    <w:sdtEndPr/>
    <w:sdtContent>
      <w:p w:rsidR="004470BE" w:rsidRDefault="004470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5C7" w:rsidRPr="005045C7">
          <w:rPr>
            <w:noProof/>
            <w:lang w:val="ru-RU"/>
          </w:rPr>
          <w:t>7</w:t>
        </w:r>
        <w:r>
          <w:fldChar w:fldCharType="end"/>
        </w:r>
      </w:p>
    </w:sdtContent>
  </w:sdt>
  <w:p w:rsidR="004470BE" w:rsidRDefault="004470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9C"/>
    <w:rsid w:val="00176763"/>
    <w:rsid w:val="004470BE"/>
    <w:rsid w:val="005045C7"/>
    <w:rsid w:val="00A82D79"/>
    <w:rsid w:val="00B80BE3"/>
    <w:rsid w:val="00C12F9A"/>
    <w:rsid w:val="00C616B5"/>
    <w:rsid w:val="00CE7A13"/>
    <w:rsid w:val="00D60D9C"/>
    <w:rsid w:val="00E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1A39"/>
  <w15:chartTrackingRefBased/>
  <w15:docId w15:val="{30D2BF61-7E66-49F9-BC38-A2226BF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16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470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0BE"/>
  </w:style>
  <w:style w:type="paragraph" w:styleId="a8">
    <w:name w:val="footer"/>
    <w:basedOn w:val="a"/>
    <w:link w:val="a9"/>
    <w:uiPriority w:val="99"/>
    <w:unhideWhenUsed/>
    <w:rsid w:val="004470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0A4D-BC14-49B4-8AC9-CB86AA2D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Администратор</cp:lastModifiedBy>
  <cp:revision>3</cp:revision>
  <cp:lastPrinted>2023-06-30T12:04:00Z</cp:lastPrinted>
  <dcterms:created xsi:type="dcterms:W3CDTF">2023-07-05T11:44:00Z</dcterms:created>
  <dcterms:modified xsi:type="dcterms:W3CDTF">2023-07-05T11:45:00Z</dcterms:modified>
</cp:coreProperties>
</file>