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756" w:rsidRDefault="002C2756" w:rsidP="002C2756">
      <w:pPr>
        <w:pStyle w:val="a4"/>
        <w:ind w:left="5670" w:firstLine="0"/>
        <w:jc w:val="both"/>
        <w:rPr>
          <w:color w:val="auto"/>
        </w:rPr>
      </w:pPr>
      <w:r>
        <w:rPr>
          <w:color w:val="auto"/>
        </w:rPr>
        <w:t>Додаток 1</w:t>
      </w:r>
    </w:p>
    <w:p w:rsidR="002C2756" w:rsidRDefault="002C2756" w:rsidP="002C2756">
      <w:pPr>
        <w:pStyle w:val="a4"/>
        <w:ind w:left="5670" w:firstLine="0"/>
        <w:jc w:val="both"/>
        <w:rPr>
          <w:color w:val="auto"/>
        </w:rPr>
      </w:pPr>
      <w:r>
        <w:rPr>
          <w:color w:val="auto"/>
        </w:rPr>
        <w:t>до розпорядження міського голови</w:t>
      </w:r>
    </w:p>
    <w:p w:rsidR="002C2756" w:rsidRDefault="002C2756" w:rsidP="002C2756">
      <w:pPr>
        <w:pStyle w:val="a4"/>
        <w:ind w:left="5670" w:firstLine="0"/>
        <w:jc w:val="both"/>
        <w:rPr>
          <w:color w:val="auto"/>
        </w:rPr>
      </w:pPr>
      <w:r>
        <w:rPr>
          <w:color w:val="auto"/>
        </w:rPr>
        <w:t>від 10.02.2023 року № 18-р</w:t>
      </w:r>
    </w:p>
    <w:p w:rsidR="00E41356" w:rsidRDefault="00E41356" w:rsidP="00E41356">
      <w:pPr>
        <w:pStyle w:val="a4"/>
        <w:ind w:left="5670" w:firstLine="0"/>
        <w:jc w:val="both"/>
        <w:rPr>
          <w:color w:val="auto"/>
          <w:sz w:val="24"/>
          <w:szCs w:val="24"/>
        </w:rPr>
      </w:pPr>
      <w:r w:rsidRPr="00E41356">
        <w:rPr>
          <w:color w:val="auto"/>
          <w:sz w:val="24"/>
          <w:szCs w:val="24"/>
        </w:rPr>
        <w:t>(в</w:t>
      </w:r>
      <w:r w:rsidR="00753380" w:rsidRPr="00E41356">
        <w:rPr>
          <w:color w:val="auto"/>
          <w:sz w:val="24"/>
          <w:szCs w:val="24"/>
        </w:rPr>
        <w:t>итяг з додатку 2</w:t>
      </w:r>
    </w:p>
    <w:p w:rsidR="00771A23" w:rsidRPr="00E41356" w:rsidRDefault="005350B4" w:rsidP="00E41356">
      <w:pPr>
        <w:pStyle w:val="a4"/>
        <w:ind w:left="5670" w:firstLine="0"/>
        <w:jc w:val="both"/>
        <w:rPr>
          <w:color w:val="auto"/>
          <w:sz w:val="24"/>
          <w:szCs w:val="24"/>
        </w:rPr>
      </w:pPr>
      <w:r w:rsidRPr="00E41356">
        <w:rPr>
          <w:color w:val="auto"/>
          <w:sz w:val="24"/>
          <w:szCs w:val="24"/>
        </w:rPr>
        <w:t>розпорядження</w:t>
      </w:r>
    </w:p>
    <w:p w:rsidR="00E41356" w:rsidRDefault="00E41356" w:rsidP="00E41356">
      <w:pPr>
        <w:pStyle w:val="a4"/>
        <w:tabs>
          <w:tab w:val="left" w:leader="underscore" w:pos="9754"/>
        </w:tabs>
        <w:ind w:left="5670" w:firstLine="0"/>
        <w:jc w:val="both"/>
        <w:rPr>
          <w:color w:val="auto"/>
          <w:sz w:val="24"/>
          <w:szCs w:val="24"/>
        </w:rPr>
      </w:pPr>
      <w:r>
        <w:rPr>
          <w:color w:val="auto"/>
          <w:sz w:val="24"/>
          <w:szCs w:val="24"/>
        </w:rPr>
        <w:t>райдержадміністрації</w:t>
      </w:r>
    </w:p>
    <w:p w:rsidR="00771A23" w:rsidRPr="00E41356" w:rsidRDefault="005350B4" w:rsidP="00E41356">
      <w:pPr>
        <w:pStyle w:val="a4"/>
        <w:tabs>
          <w:tab w:val="left" w:leader="underscore" w:pos="9754"/>
        </w:tabs>
        <w:ind w:left="5670" w:firstLine="0"/>
        <w:jc w:val="both"/>
        <w:rPr>
          <w:color w:val="auto"/>
          <w:sz w:val="24"/>
          <w:szCs w:val="24"/>
        </w:rPr>
      </w:pPr>
      <w:r w:rsidRPr="00E41356">
        <w:rPr>
          <w:color w:val="auto"/>
          <w:sz w:val="24"/>
          <w:szCs w:val="24"/>
        </w:rPr>
        <w:t>від</w:t>
      </w:r>
      <w:r w:rsidR="00753380" w:rsidRPr="00E41356">
        <w:rPr>
          <w:color w:val="auto"/>
          <w:sz w:val="24"/>
          <w:szCs w:val="24"/>
        </w:rPr>
        <w:t xml:space="preserve"> 19.01.2023 року № 7</w:t>
      </w:r>
      <w:r w:rsidR="00E41356" w:rsidRPr="00E41356">
        <w:rPr>
          <w:color w:val="auto"/>
          <w:sz w:val="24"/>
          <w:szCs w:val="24"/>
        </w:rPr>
        <w:t>)</w:t>
      </w:r>
    </w:p>
    <w:p w:rsidR="00771A23" w:rsidRPr="00753380" w:rsidRDefault="005350B4">
      <w:pPr>
        <w:pStyle w:val="a4"/>
        <w:spacing w:line="252" w:lineRule="auto"/>
        <w:ind w:firstLine="0"/>
        <w:jc w:val="center"/>
        <w:rPr>
          <w:color w:val="auto"/>
        </w:rPr>
      </w:pPr>
      <w:r w:rsidRPr="00753380">
        <w:rPr>
          <w:b/>
          <w:bCs/>
          <w:color w:val="auto"/>
        </w:rPr>
        <w:t>Перелік</w:t>
      </w:r>
    </w:p>
    <w:p w:rsidR="00771A23" w:rsidRPr="00753380" w:rsidRDefault="005350B4">
      <w:pPr>
        <w:pStyle w:val="a4"/>
        <w:spacing w:after="300" w:line="252" w:lineRule="auto"/>
        <w:ind w:firstLine="0"/>
        <w:jc w:val="center"/>
        <w:rPr>
          <w:color w:val="auto"/>
        </w:rPr>
      </w:pPr>
      <w:r w:rsidRPr="00753380">
        <w:rPr>
          <w:b/>
          <w:bCs/>
          <w:color w:val="auto"/>
        </w:rPr>
        <w:t>заходів щодо покращення стану військового обліку у 2023 році</w:t>
      </w:r>
    </w:p>
    <w:p w:rsidR="00771A23" w:rsidRPr="00753380" w:rsidRDefault="005350B4">
      <w:pPr>
        <w:pStyle w:val="a4"/>
        <w:numPr>
          <w:ilvl w:val="0"/>
          <w:numId w:val="6"/>
        </w:numPr>
        <w:tabs>
          <w:tab w:val="left" w:pos="836"/>
        </w:tabs>
        <w:ind w:firstLine="360"/>
        <w:jc w:val="both"/>
        <w:rPr>
          <w:color w:val="auto"/>
        </w:rPr>
      </w:pPr>
      <w:r w:rsidRPr="00753380">
        <w:rPr>
          <w:b/>
          <w:bCs/>
          <w:color w:val="auto"/>
        </w:rPr>
        <w:t>Щодо забезпечення персонально-первинного обліку призовників, військовозобов’язаних та резервістів виконавчими органами територіальних громад.</w:t>
      </w:r>
    </w:p>
    <w:p w:rsidR="00771A23" w:rsidRPr="00753380" w:rsidRDefault="005350B4">
      <w:pPr>
        <w:pStyle w:val="a4"/>
        <w:numPr>
          <w:ilvl w:val="1"/>
          <w:numId w:val="6"/>
        </w:numPr>
        <w:tabs>
          <w:tab w:val="left" w:pos="846"/>
        </w:tabs>
        <w:spacing w:line="252" w:lineRule="auto"/>
        <w:ind w:firstLine="360"/>
        <w:jc w:val="both"/>
        <w:rPr>
          <w:color w:val="auto"/>
        </w:rPr>
      </w:pPr>
      <w:r w:rsidRPr="00753380">
        <w:rPr>
          <w:color w:val="auto"/>
        </w:rPr>
        <w:t>Використовувати кожне прибуття призовників і військовозобов'язаних з особистих питань до органів місцевого самоврядування, центрів надання адміністративних послуг для звіряння їх облікових даних із картками первинного обліку.</w:t>
      </w:r>
    </w:p>
    <w:p w:rsidR="00771A23" w:rsidRPr="00753380" w:rsidRDefault="005350B4">
      <w:pPr>
        <w:pStyle w:val="a4"/>
        <w:numPr>
          <w:ilvl w:val="1"/>
          <w:numId w:val="6"/>
        </w:numPr>
        <w:tabs>
          <w:tab w:val="left" w:pos="860"/>
        </w:tabs>
        <w:spacing w:line="252" w:lineRule="auto"/>
        <w:ind w:firstLine="360"/>
        <w:jc w:val="both"/>
        <w:rPr>
          <w:color w:val="auto"/>
        </w:rPr>
      </w:pPr>
      <w:r w:rsidRPr="00753380">
        <w:rPr>
          <w:color w:val="auto"/>
        </w:rPr>
        <w:t>При необхідності внесення змін у військові квитки військовозобов'язаних (при зміні військово-облікових даних) приймати їх під розписку та подавати до районного територіального центру комплектування та соціальної підтримки (далі - РТЦК та СП) для внесення необхідних змін.</w:t>
      </w:r>
    </w:p>
    <w:p w:rsidR="00771A23" w:rsidRPr="00753380" w:rsidRDefault="005350B4">
      <w:pPr>
        <w:pStyle w:val="a4"/>
        <w:numPr>
          <w:ilvl w:val="1"/>
          <w:numId w:val="6"/>
        </w:numPr>
        <w:tabs>
          <w:tab w:val="left" w:pos="850"/>
        </w:tabs>
        <w:spacing w:line="252" w:lineRule="auto"/>
        <w:ind w:firstLine="360"/>
        <w:jc w:val="both"/>
        <w:rPr>
          <w:color w:val="auto"/>
        </w:rPr>
      </w:pPr>
      <w:r w:rsidRPr="00753380">
        <w:rPr>
          <w:color w:val="auto"/>
        </w:rPr>
        <w:t>Розробити плани звірянь облікових даних карток первинного обліку призовників і військовозобов’язаних, які перебувають на військовому обліку, з їх обліковими даними, що містяться в особових картках призовників і військовозобов’язаних підприємств, установ, організацій, де вони працюють (навчаються), що перебувають на території відповідальності виконавчих органів територіальних громад, а також плани контролю за виконанням посадовими особами підприємств, установ та організацій, які перебувають на території відповідних населених пунктів, встановлених правил військового обліку та здійснювати заходи звіряння і контролю відповідно до цих планів.</w:t>
      </w:r>
    </w:p>
    <w:p w:rsidR="00771A23" w:rsidRPr="00753380" w:rsidRDefault="005350B4">
      <w:pPr>
        <w:pStyle w:val="a4"/>
        <w:numPr>
          <w:ilvl w:val="1"/>
          <w:numId w:val="6"/>
        </w:numPr>
        <w:tabs>
          <w:tab w:val="left" w:pos="879"/>
        </w:tabs>
        <w:spacing w:line="252" w:lineRule="auto"/>
        <w:ind w:firstLine="360"/>
        <w:jc w:val="both"/>
        <w:rPr>
          <w:color w:val="auto"/>
        </w:rPr>
      </w:pPr>
      <w:r w:rsidRPr="00753380">
        <w:rPr>
          <w:color w:val="auto"/>
        </w:rPr>
        <w:t>Складати і подавати щороку до 1 грудня до Р(М)ТЦК та СП списки громадян, які підлягають приписці до призовних дільниць.</w:t>
      </w:r>
    </w:p>
    <w:p w:rsidR="00771A23" w:rsidRPr="00753380" w:rsidRDefault="005350B4">
      <w:pPr>
        <w:pStyle w:val="a4"/>
        <w:numPr>
          <w:ilvl w:val="1"/>
          <w:numId w:val="6"/>
        </w:numPr>
        <w:tabs>
          <w:tab w:val="left" w:pos="874"/>
          <w:tab w:val="left" w:pos="3360"/>
        </w:tabs>
        <w:spacing w:line="252" w:lineRule="auto"/>
        <w:ind w:firstLine="360"/>
        <w:jc w:val="both"/>
        <w:rPr>
          <w:color w:val="auto"/>
          <w:sz w:val="32"/>
          <w:szCs w:val="32"/>
        </w:rPr>
      </w:pPr>
      <w:r w:rsidRPr="00753380">
        <w:rPr>
          <w:color w:val="auto"/>
        </w:rPr>
        <w:t>Інформувати Р(М)ТЦК та СП про всіх громадян, посадових осіб підприємств, установ та організацій та власників будинків, які порушують правила військового обліку, для притягнення винних до відп</w:t>
      </w:r>
      <w:r w:rsidR="00753380">
        <w:rPr>
          <w:color w:val="auto"/>
        </w:rPr>
        <w:t>овідальності згідно із законом.</w:t>
      </w:r>
    </w:p>
    <w:p w:rsidR="00771A23" w:rsidRPr="00753380" w:rsidRDefault="005350B4">
      <w:pPr>
        <w:pStyle w:val="a4"/>
        <w:numPr>
          <w:ilvl w:val="1"/>
          <w:numId w:val="6"/>
        </w:numPr>
        <w:tabs>
          <w:tab w:val="left" w:pos="884"/>
          <w:tab w:val="left" w:pos="3149"/>
        </w:tabs>
        <w:spacing w:after="40"/>
        <w:ind w:firstLine="360"/>
        <w:jc w:val="both"/>
        <w:rPr>
          <w:color w:val="auto"/>
        </w:rPr>
      </w:pPr>
      <w:r w:rsidRPr="00753380">
        <w:rPr>
          <w:color w:val="auto"/>
        </w:rPr>
        <w:t>Інформувати Р(М)ТЦК та СП про реєстрацію, ліквідацію підприємств, установ та організацій, які перебувають на території в</w:t>
      </w:r>
      <w:r w:rsidR="00753380">
        <w:rPr>
          <w:color w:val="auto"/>
        </w:rPr>
        <w:t>ідповідних населених пунктів.</w:t>
      </w:r>
    </w:p>
    <w:p w:rsidR="00771A23" w:rsidRDefault="005350B4">
      <w:pPr>
        <w:pStyle w:val="a4"/>
        <w:numPr>
          <w:ilvl w:val="1"/>
          <w:numId w:val="6"/>
        </w:numPr>
        <w:tabs>
          <w:tab w:val="left" w:pos="884"/>
        </w:tabs>
        <w:spacing w:after="40"/>
        <w:ind w:firstLine="360"/>
        <w:jc w:val="both"/>
        <w:rPr>
          <w:color w:val="auto"/>
        </w:rPr>
      </w:pPr>
      <w:r w:rsidRPr="00753380">
        <w:rPr>
          <w:color w:val="auto"/>
        </w:rPr>
        <w:t>Повідомляти Р(М)ТЦК та СП про призовників і військовозобов’язаних, які вибули до нового постійного місця проживання за межі адміністративно- територіальної одиниці без зняття з військового обліку, для вжиття відповідних заходів.</w:t>
      </w:r>
    </w:p>
    <w:p w:rsidR="00E41356" w:rsidRDefault="00E41356" w:rsidP="00E41356">
      <w:pPr>
        <w:pStyle w:val="a4"/>
        <w:tabs>
          <w:tab w:val="left" w:pos="884"/>
        </w:tabs>
        <w:spacing w:after="40"/>
        <w:ind w:left="360" w:firstLine="0"/>
        <w:jc w:val="both"/>
        <w:rPr>
          <w:color w:val="auto"/>
        </w:rPr>
      </w:pPr>
      <w:bookmarkStart w:id="0" w:name="_GoBack"/>
      <w:bookmarkEnd w:id="0"/>
    </w:p>
    <w:p w:rsidR="00753380" w:rsidRPr="00753380" w:rsidRDefault="00753380" w:rsidP="00753380">
      <w:pPr>
        <w:pStyle w:val="a4"/>
        <w:tabs>
          <w:tab w:val="left" w:pos="884"/>
        </w:tabs>
        <w:spacing w:after="40"/>
        <w:ind w:left="360" w:firstLine="0"/>
        <w:jc w:val="both"/>
        <w:rPr>
          <w:color w:val="auto"/>
        </w:rPr>
      </w:pPr>
    </w:p>
    <w:p w:rsidR="00771A23" w:rsidRPr="00753380" w:rsidRDefault="005350B4">
      <w:pPr>
        <w:pStyle w:val="a4"/>
        <w:numPr>
          <w:ilvl w:val="0"/>
          <w:numId w:val="6"/>
        </w:numPr>
        <w:tabs>
          <w:tab w:val="left" w:pos="778"/>
        </w:tabs>
        <w:ind w:firstLine="340"/>
        <w:jc w:val="both"/>
        <w:rPr>
          <w:color w:val="auto"/>
        </w:rPr>
      </w:pPr>
      <w:r w:rsidRPr="00753380">
        <w:rPr>
          <w:b/>
          <w:bCs/>
          <w:color w:val="auto"/>
        </w:rPr>
        <w:lastRenderedPageBreak/>
        <w:t>Щодо забезпечення персонального обліку призовників і військовозобов’язаних державними органами, підприємствами, установами та організаціями.</w:t>
      </w:r>
    </w:p>
    <w:p w:rsidR="00771A23" w:rsidRPr="00753380" w:rsidRDefault="005350B4">
      <w:pPr>
        <w:pStyle w:val="a4"/>
        <w:numPr>
          <w:ilvl w:val="1"/>
          <w:numId w:val="6"/>
        </w:numPr>
        <w:tabs>
          <w:tab w:val="left" w:pos="984"/>
        </w:tabs>
        <w:spacing w:line="252" w:lineRule="auto"/>
        <w:ind w:firstLine="340"/>
        <w:jc w:val="both"/>
        <w:rPr>
          <w:color w:val="auto"/>
        </w:rPr>
      </w:pPr>
      <w:r w:rsidRPr="00753380">
        <w:rPr>
          <w:color w:val="auto"/>
        </w:rPr>
        <w:t>Проаналізувати кваліфікаційні вимоги до посад на відповідність спеціальностям, визначеним у наказі Міністерства оборони України від 11 жовтня 2021 р. №313 «Про затвердження Переліку спеціальностей та/або професій, споріднених з відповідними військово-обліковими спеціальностями, після одержання яких жінки беруться на військовий облік військовозобов’язаних» (зі змінами, внесеними наказами МОУ від 07.02.2022 року №35 та від 06.09.2022 року №259). При наявності жінок, що працюють на таких посадах і мають відповідні спеціальності - за їх бажанням скеровувати до РТЦК та СП для взяття на військовий облік .</w:t>
      </w:r>
    </w:p>
    <w:p w:rsidR="00771A23" w:rsidRPr="00753380" w:rsidRDefault="005350B4">
      <w:pPr>
        <w:pStyle w:val="a4"/>
        <w:numPr>
          <w:ilvl w:val="1"/>
          <w:numId w:val="6"/>
        </w:numPr>
        <w:tabs>
          <w:tab w:val="left" w:pos="984"/>
        </w:tabs>
        <w:spacing w:line="252" w:lineRule="auto"/>
        <w:ind w:firstLine="340"/>
        <w:jc w:val="both"/>
        <w:rPr>
          <w:color w:val="auto"/>
        </w:rPr>
      </w:pPr>
      <w:r w:rsidRPr="00753380">
        <w:rPr>
          <w:color w:val="auto"/>
        </w:rPr>
        <w:t>Встановити взаємодію із Р(М)ТЦК та СП інших адміністративно- територіальних одиниць (за: наявності в них на обліку військовозобов'язаних та призовників, що працюють в державному органі, підприємстві, установі, організації). Здійснювати їх письмове інформування про призначення, переміщення і звільнення осіб, відповідальних за ведення військового обліку. В ході взаємодії уточнити строки та способи звіряння даних особових карток, їх облікових даних, внесення відповідних змін до них, а також порядок оповіщення призовників і військовозобов’язаних. Відряджати осіб, відповідальних за ведення військового обліку у визначені строки до таких територіальних центрів комплектування та соціальної підтримки для проведення звіряння даних особових карток призовників і військовозобов’язаних з їх обліковими документами у Р(М)ТЦК та СП.</w:t>
      </w:r>
    </w:p>
    <w:p w:rsidR="00771A23" w:rsidRPr="00753380" w:rsidRDefault="005350B4">
      <w:pPr>
        <w:pStyle w:val="a4"/>
        <w:numPr>
          <w:ilvl w:val="1"/>
          <w:numId w:val="6"/>
        </w:numPr>
        <w:tabs>
          <w:tab w:val="left" w:pos="984"/>
        </w:tabs>
        <w:spacing w:line="252" w:lineRule="auto"/>
        <w:ind w:firstLine="340"/>
        <w:jc w:val="both"/>
        <w:rPr>
          <w:color w:val="auto"/>
        </w:rPr>
      </w:pPr>
      <w:r w:rsidRPr="00753380">
        <w:rPr>
          <w:color w:val="auto"/>
        </w:rPr>
        <w:t>Керівникам навчальних закладів забезпечити відпрацювання особових карток на усіх призовників і військовозобов'язаних, що працюють та навчаються в навчальних закладах.</w:t>
      </w:r>
    </w:p>
    <w:p w:rsidR="00771A23" w:rsidRPr="00753380" w:rsidRDefault="005350B4">
      <w:pPr>
        <w:pStyle w:val="a4"/>
        <w:numPr>
          <w:ilvl w:val="1"/>
          <w:numId w:val="6"/>
        </w:numPr>
        <w:tabs>
          <w:tab w:val="left" w:pos="984"/>
        </w:tabs>
        <w:spacing w:line="252" w:lineRule="auto"/>
        <w:ind w:firstLine="340"/>
        <w:jc w:val="both"/>
        <w:rPr>
          <w:color w:val="auto"/>
        </w:rPr>
      </w:pPr>
      <w:r w:rsidRPr="00753380">
        <w:rPr>
          <w:color w:val="auto"/>
        </w:rPr>
        <w:t>Перевіряти у громадян під час прийняття на роботу (навчання) наявність військово-облікових документів (у військовозобов’язаних — військових квитків або тимчасових посвідчень, а у призовників — посвідчень про приписку до призовних дільниць). Приймання на роботу (навчання) призовників і військовозобов’язаних здійснюється тільки після взяття їх на військовий облік у Р(М)ТЦК та СП, а також у разі перебування на військовому обліку в Службі безпеки України та Службі зовнішньої розвідки України.</w:t>
      </w:r>
    </w:p>
    <w:p w:rsidR="00771A23" w:rsidRPr="00753380" w:rsidRDefault="005350B4">
      <w:pPr>
        <w:pStyle w:val="a4"/>
        <w:numPr>
          <w:ilvl w:val="1"/>
          <w:numId w:val="6"/>
        </w:numPr>
        <w:tabs>
          <w:tab w:val="left" w:pos="984"/>
          <w:tab w:val="left" w:pos="3427"/>
        </w:tabs>
        <w:spacing w:line="252" w:lineRule="auto"/>
        <w:ind w:firstLine="340"/>
        <w:jc w:val="both"/>
        <w:rPr>
          <w:color w:val="auto"/>
          <w:sz w:val="24"/>
          <w:szCs w:val="24"/>
        </w:rPr>
      </w:pPr>
      <w:r w:rsidRPr="00753380">
        <w:rPr>
          <w:color w:val="auto"/>
        </w:rPr>
        <w:t>Своєчасно оформляти документи для бронювання військовозобов’язаних за центральними і місцевими органами виконавчої влади, іншими державними органами, підприємствами, установами та організаціями на період мобілізації та на воєнний час.</w:t>
      </w:r>
      <w:r w:rsidRPr="00753380">
        <w:rPr>
          <w:color w:val="auto"/>
        </w:rPr>
        <w:tab/>
      </w:r>
    </w:p>
    <w:p w:rsidR="00771A23" w:rsidRDefault="005350B4">
      <w:pPr>
        <w:pStyle w:val="a4"/>
        <w:numPr>
          <w:ilvl w:val="1"/>
          <w:numId w:val="6"/>
        </w:numPr>
        <w:tabs>
          <w:tab w:val="left" w:pos="984"/>
        </w:tabs>
        <w:spacing w:line="252" w:lineRule="auto"/>
        <w:ind w:firstLine="340"/>
        <w:jc w:val="both"/>
        <w:rPr>
          <w:color w:val="auto"/>
        </w:rPr>
      </w:pPr>
      <w:r w:rsidRPr="00753380">
        <w:rPr>
          <w:color w:val="auto"/>
        </w:rPr>
        <w:t>Постійно інформувати Р(М)ТЦК та СП про громадян та посадових осіб, які порушують правила військового обліку, для притягнення їх до відповідальності згідно із законом.</w:t>
      </w:r>
    </w:p>
    <w:p w:rsidR="002C2756" w:rsidRDefault="002C2756" w:rsidP="002C2756">
      <w:pPr>
        <w:pStyle w:val="a4"/>
        <w:tabs>
          <w:tab w:val="left" w:pos="984"/>
        </w:tabs>
        <w:spacing w:line="252" w:lineRule="auto"/>
        <w:ind w:left="340" w:firstLine="0"/>
        <w:jc w:val="both"/>
        <w:rPr>
          <w:color w:val="auto"/>
        </w:rPr>
      </w:pPr>
    </w:p>
    <w:p w:rsidR="00753380" w:rsidRPr="00753380" w:rsidRDefault="00753380" w:rsidP="00753380">
      <w:pPr>
        <w:pStyle w:val="a4"/>
        <w:tabs>
          <w:tab w:val="left" w:pos="984"/>
        </w:tabs>
        <w:spacing w:line="252" w:lineRule="auto"/>
        <w:ind w:left="340" w:firstLine="0"/>
        <w:jc w:val="both"/>
        <w:rPr>
          <w:color w:val="auto"/>
        </w:rPr>
      </w:pPr>
    </w:p>
    <w:p w:rsidR="00771A23" w:rsidRPr="00753380" w:rsidRDefault="005350B4">
      <w:pPr>
        <w:pStyle w:val="a4"/>
        <w:numPr>
          <w:ilvl w:val="0"/>
          <w:numId w:val="6"/>
        </w:numPr>
        <w:tabs>
          <w:tab w:val="left" w:pos="778"/>
        </w:tabs>
        <w:spacing w:line="252" w:lineRule="auto"/>
        <w:ind w:firstLine="320"/>
        <w:jc w:val="both"/>
        <w:rPr>
          <w:color w:val="auto"/>
        </w:rPr>
      </w:pPr>
      <w:r w:rsidRPr="00753380">
        <w:rPr>
          <w:b/>
          <w:bCs/>
          <w:color w:val="auto"/>
        </w:rPr>
        <w:lastRenderedPageBreak/>
        <w:t>Щодо розшуку військовозобов’язаних, які ухиляються від виконання військового обов’язку.</w:t>
      </w:r>
    </w:p>
    <w:p w:rsidR="00771A23" w:rsidRPr="00753380" w:rsidRDefault="005350B4">
      <w:pPr>
        <w:pStyle w:val="a4"/>
        <w:spacing w:line="252" w:lineRule="auto"/>
        <w:ind w:firstLine="320"/>
        <w:jc w:val="both"/>
        <w:rPr>
          <w:color w:val="auto"/>
        </w:rPr>
      </w:pPr>
      <w:r w:rsidRPr="00753380">
        <w:rPr>
          <w:color w:val="auto"/>
        </w:rPr>
        <w:t>РТЦК та СП спільно з Івано-Франківським районним управління поліції ТУ Національної поліції в Івано-Франківській області відпрацювати дієву систему щодо розшуку, затримання і доставки до територіальних центрів комплектування та соціальної підтримки громадян, які ухиляються від виконання військового обов’язку. Направляти списки таких громадян до державних органів, органів місцевого самоврядування, до яких прибувають громадяни для вирішення особистих питань і де здійснюється ідентифікація їх особи, - для виклику представників РТЦК та СП і поліції при прибутті таких осіб.</w:t>
      </w:r>
    </w:p>
    <w:p w:rsidR="00771A23" w:rsidRDefault="005350B4" w:rsidP="00753380">
      <w:pPr>
        <w:pStyle w:val="a4"/>
        <w:spacing w:after="700" w:line="252" w:lineRule="auto"/>
        <w:ind w:firstLine="320"/>
        <w:jc w:val="both"/>
        <w:rPr>
          <w:color w:val="auto"/>
        </w:rPr>
      </w:pPr>
      <w:r w:rsidRPr="00753380">
        <w:rPr>
          <w:color w:val="auto"/>
        </w:rPr>
        <w:t>Виконавчим органам територіальних громад постійно проводити роботу щодо виявлення призовників і військовозобов’язаних, які ухиляються від виконання військового обов’язку та негайно повідомляти представників Національної поліції та Р(М)ТЦК та СП про місце знаходження таких осіб.</w:t>
      </w:r>
    </w:p>
    <w:p w:rsidR="002C2756" w:rsidRDefault="002C2756" w:rsidP="002C2756">
      <w:pPr>
        <w:pStyle w:val="a4"/>
        <w:spacing w:line="252" w:lineRule="auto"/>
        <w:ind w:firstLine="320"/>
        <w:jc w:val="both"/>
        <w:rPr>
          <w:color w:val="auto"/>
        </w:rPr>
      </w:pPr>
      <w:r>
        <w:rPr>
          <w:color w:val="auto"/>
        </w:rPr>
        <w:t>Керуючий справами</w:t>
      </w:r>
    </w:p>
    <w:p w:rsidR="002C2756" w:rsidRDefault="002C2756" w:rsidP="002C2756">
      <w:pPr>
        <w:pStyle w:val="a4"/>
        <w:spacing w:line="252" w:lineRule="auto"/>
        <w:ind w:firstLine="320"/>
        <w:jc w:val="both"/>
        <w:rPr>
          <w:color w:val="auto"/>
        </w:rPr>
      </w:pPr>
      <w:r>
        <w:rPr>
          <w:color w:val="auto"/>
        </w:rPr>
        <w:t>виконавчого комітету                                                        Олег ВОВКУН</w:t>
      </w:r>
    </w:p>
    <w:p w:rsidR="002C2756" w:rsidRDefault="002C2756" w:rsidP="00753380">
      <w:pPr>
        <w:pStyle w:val="a4"/>
        <w:spacing w:after="700" w:line="252" w:lineRule="auto"/>
        <w:ind w:firstLine="320"/>
        <w:jc w:val="both"/>
        <w:rPr>
          <w:color w:val="auto"/>
        </w:rPr>
      </w:pPr>
    </w:p>
    <w:p w:rsidR="002C2756" w:rsidRPr="00753380" w:rsidRDefault="002C2756" w:rsidP="00753380">
      <w:pPr>
        <w:pStyle w:val="a4"/>
        <w:spacing w:after="700" w:line="252" w:lineRule="auto"/>
        <w:ind w:firstLine="320"/>
        <w:jc w:val="both"/>
        <w:rPr>
          <w:color w:val="auto"/>
        </w:rPr>
      </w:pPr>
    </w:p>
    <w:p w:rsidR="00771A23" w:rsidRDefault="005350B4">
      <w:pPr>
        <w:pStyle w:val="a4"/>
        <w:ind w:firstLine="0"/>
        <w:jc w:val="both"/>
      </w:pPr>
      <w:r w:rsidRPr="00753380">
        <w:rPr>
          <w:noProof/>
          <w:color w:val="auto"/>
          <w:lang w:bidi="ar-SA"/>
        </w:rPr>
        <mc:AlternateContent>
          <mc:Choice Requires="wps">
            <w:drawing>
              <wp:anchor distT="0" distB="0" distL="0" distR="0" simplePos="0" relativeHeight="251658240" behindDoc="0" locked="0" layoutInCell="1" allowOverlap="1" wp14:anchorId="100BEBBE" wp14:editId="345F9012">
                <wp:simplePos x="0" y="0"/>
                <wp:positionH relativeFrom="page">
                  <wp:posOffset>5879465</wp:posOffset>
                </wp:positionH>
                <wp:positionV relativeFrom="paragraph">
                  <wp:posOffset>216535</wp:posOffset>
                </wp:positionV>
                <wp:extent cx="1073150" cy="216535"/>
                <wp:effectExtent l="0" t="0" r="0" b="0"/>
                <wp:wrapNone/>
                <wp:docPr id="22" name="Shape 22"/>
                <wp:cNvGraphicFramePr/>
                <a:graphic xmlns:a="http://schemas.openxmlformats.org/drawingml/2006/main">
                  <a:graphicData uri="http://schemas.microsoft.com/office/word/2010/wordprocessingShape">
                    <wps:wsp>
                      <wps:cNvSpPr txBox="1"/>
                      <wps:spPr>
                        <a:xfrm>
                          <a:off x="0" y="0"/>
                          <a:ext cx="1073150" cy="216535"/>
                        </a:xfrm>
                        <a:prstGeom prst="rect">
                          <a:avLst/>
                        </a:prstGeom>
                        <a:noFill/>
                      </wps:spPr>
                      <wps:txbx>
                        <w:txbxContent>
                          <w:p w:rsidR="00771A23" w:rsidRDefault="00771A23">
                            <w:pPr>
                              <w:pStyle w:val="a6"/>
                            </w:pPr>
                          </w:p>
                        </w:txbxContent>
                      </wps:txbx>
                      <wps:bodyPr lIns="0" tIns="0" rIns="0" bIns="0"/>
                    </wps:wsp>
                  </a:graphicData>
                </a:graphic>
              </wp:anchor>
            </w:drawing>
          </mc:Choice>
          <mc:Fallback>
            <w:pict>
              <v:shapetype w14:anchorId="100BEBBE" id="_x0000_t202" coordsize="21600,21600" o:spt="202" path="m,l,21600r21600,l21600,xe">
                <v:stroke joinstyle="miter"/>
                <v:path gradientshapeok="t" o:connecttype="rect"/>
              </v:shapetype>
              <v:shape id="Shape 22" o:spid="_x0000_s1026" type="#_x0000_t202" style="position:absolute;left:0;text-align:left;margin-left:462.95pt;margin-top:17.05pt;width:84.5pt;height:17.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" filled="f" stroked="f">
                <v:textbox inset="0,0,0,0">
                  <w:txbxContent>
                    <w:p w:rsidR="00771A23" w:rsidRDefault="00771A23">
                      <w:pPr>
                        <w:pStyle w:val="a6"/>
                      </w:pPr>
                    </w:p>
                  </w:txbxContent>
                </v:textbox>
                <w10:wrap anchorx="page"/>
              </v:shape>
            </w:pict>
          </mc:Fallback>
        </mc:AlternateContent>
      </w:r>
    </w:p>
    <w:sectPr w:rsidR="00771A23" w:rsidSect="00753380">
      <w:footerReference w:type="even" r:id="rId7"/>
      <w:footerReference w:type="default" r:id="rId8"/>
      <w:pgSz w:w="11900" w:h="16840"/>
      <w:pgMar w:top="930" w:right="560" w:bottom="1128" w:left="14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0B4" w:rsidRDefault="005350B4">
      <w:r>
        <w:separator/>
      </w:r>
    </w:p>
  </w:endnote>
  <w:endnote w:type="continuationSeparator" w:id="0">
    <w:p w:rsidR="005350B4" w:rsidRDefault="0053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A23" w:rsidRDefault="005350B4">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3928745</wp:posOffset>
              </wp:positionH>
              <wp:positionV relativeFrom="page">
                <wp:posOffset>10043795</wp:posOffset>
              </wp:positionV>
              <wp:extent cx="128270" cy="106680"/>
              <wp:effectExtent l="0" t="0" r="0" b="0"/>
              <wp:wrapNone/>
              <wp:docPr id="26" name="Shape 26"/>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771A23" w:rsidRDefault="005350B4">
                          <w:pPr>
                            <w:pStyle w:val="20"/>
                            <w:rPr>
                              <w:sz w:val="24"/>
                              <w:szCs w:val="24"/>
                            </w:rPr>
                          </w:pPr>
                          <w:r>
                            <w:fldChar w:fldCharType="begin"/>
                          </w:r>
                          <w:r>
                            <w:instrText xml:space="preserve"> PAGE \* MERGEFORMAT </w:instrText>
                          </w:r>
                          <w:r>
                            <w:fldChar w:fldCharType="separate"/>
                          </w:r>
                          <w:r w:rsidR="00E41356" w:rsidRPr="00E41356">
                            <w:rPr>
                              <w:noProof/>
                              <w:color w:val="423E41"/>
                              <w:sz w:val="24"/>
                              <w:szCs w:val="24"/>
                            </w:rPr>
                            <w:t>2</w:t>
                          </w:r>
                          <w:r>
                            <w:rPr>
                              <w:color w:val="423E41"/>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27" type="#_x0000_t202" style="position:absolute;margin-left:309.35pt;margin-top:790.85pt;width:10.1pt;height:8.4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" filled="f" stroked="f">
              <v:textbox style="mso-fit-shape-to-text:t" inset="0,0,0,0">
                <w:txbxContent>
                  <w:p w:rsidR="00771A23" w:rsidRDefault="005350B4">
                    <w:pPr>
                      <w:pStyle w:val="20"/>
                      <w:rPr>
                        <w:sz w:val="24"/>
                        <w:szCs w:val="24"/>
                      </w:rPr>
                    </w:pPr>
                    <w:r>
                      <w:fldChar w:fldCharType="begin"/>
                    </w:r>
                    <w:r>
                      <w:instrText xml:space="preserve"> PAGE \* MERGEFORMAT </w:instrText>
                    </w:r>
                    <w:r>
                      <w:fldChar w:fldCharType="separate"/>
                    </w:r>
                    <w:r w:rsidR="00E41356" w:rsidRPr="00E41356">
                      <w:rPr>
                        <w:noProof/>
                        <w:color w:val="423E41"/>
                        <w:sz w:val="24"/>
                        <w:szCs w:val="24"/>
                      </w:rPr>
                      <w:t>2</w:t>
                    </w:r>
                    <w:r>
                      <w:rPr>
                        <w:color w:val="423E4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A23" w:rsidRDefault="00771A23">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0B4" w:rsidRDefault="005350B4"/>
  </w:footnote>
  <w:footnote w:type="continuationSeparator" w:id="0">
    <w:p w:rsidR="005350B4" w:rsidRDefault="005350B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0BA"/>
    <w:multiLevelType w:val="multilevel"/>
    <w:tmpl w:val="D00025AE"/>
    <w:lvl w:ilvl="0">
      <w:start w:val="1"/>
      <w:numFmt w:val="bullet"/>
      <w:lvlText w:val="-"/>
      <w:lvlJc w:val="left"/>
      <w:rPr>
        <w:rFonts w:ascii="Times New Roman" w:eastAsia="Times New Roman" w:hAnsi="Times New Roman" w:cs="Times New Roman"/>
        <w:b w:val="0"/>
        <w:bCs w:val="0"/>
        <w:i w:val="0"/>
        <w:iCs w:val="0"/>
        <w:smallCaps w:val="0"/>
        <w:strike w:val="0"/>
        <w:color w:val="423E41"/>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10A5D"/>
    <w:multiLevelType w:val="multilevel"/>
    <w:tmpl w:val="9FB21E54"/>
    <w:lvl w:ilvl="0">
      <w:start w:val="1"/>
      <w:numFmt w:val="upperRoman"/>
      <w:lvlText w:val="%1"/>
      <w:lvlJc w:val="left"/>
      <w:rPr>
        <w:rFonts w:ascii="Times New Roman" w:eastAsia="Times New Roman" w:hAnsi="Times New Roman" w:cs="Times New Roman"/>
        <w:b w:val="0"/>
        <w:bCs w:val="0"/>
        <w:i w:val="0"/>
        <w:iCs w:val="0"/>
        <w:smallCaps w:val="0"/>
        <w:strike w:val="0"/>
        <w:color w:val="423E41"/>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D6B69"/>
    <w:multiLevelType w:val="multilevel"/>
    <w:tmpl w:val="F5B48BFA"/>
    <w:lvl w:ilvl="0">
      <w:start w:val="1"/>
      <w:numFmt w:val="decimal"/>
      <w:lvlText w:val="%1."/>
      <w:lvlJc w:val="left"/>
      <w:rPr>
        <w:rFonts w:ascii="Times New Roman" w:eastAsia="Times New Roman" w:hAnsi="Times New Roman" w:cs="Times New Roman"/>
        <w:b/>
        <w:bCs/>
        <w:i w:val="0"/>
        <w:iCs w:val="0"/>
        <w:smallCaps w:val="0"/>
        <w:strike w:val="0"/>
        <w:color w:val="423E41"/>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423E41"/>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7954CC"/>
    <w:multiLevelType w:val="multilevel"/>
    <w:tmpl w:val="E1AAE2D0"/>
    <w:lvl w:ilvl="0">
      <w:start w:val="1"/>
      <w:numFmt w:val="decimal"/>
      <w:lvlText w:val="%1."/>
      <w:lvlJc w:val="left"/>
      <w:rPr>
        <w:rFonts w:ascii="Times New Roman" w:eastAsia="Times New Roman" w:hAnsi="Times New Roman" w:cs="Times New Roman"/>
        <w:b w:val="0"/>
        <w:bCs w:val="0"/>
        <w:i w:val="0"/>
        <w:iCs w:val="0"/>
        <w:smallCaps w:val="0"/>
        <w:strike w:val="0"/>
        <w:color w:val="423E41"/>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D4569E"/>
    <w:multiLevelType w:val="multilevel"/>
    <w:tmpl w:val="68AC26E2"/>
    <w:lvl w:ilvl="0">
      <w:start w:val="1"/>
      <w:numFmt w:val="bullet"/>
      <w:lvlText w:val="-"/>
      <w:lvlJc w:val="left"/>
      <w:rPr>
        <w:rFonts w:ascii="Times New Roman" w:eastAsia="Times New Roman" w:hAnsi="Times New Roman" w:cs="Times New Roman"/>
        <w:b w:val="0"/>
        <w:bCs w:val="0"/>
        <w:i w:val="0"/>
        <w:iCs w:val="0"/>
        <w:smallCaps w:val="0"/>
        <w:strike w:val="0"/>
        <w:color w:val="423E41"/>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CA2E27"/>
    <w:multiLevelType w:val="multilevel"/>
    <w:tmpl w:val="AD1471FE"/>
    <w:lvl w:ilvl="0">
      <w:start w:val="1"/>
      <w:numFmt w:val="upperRoman"/>
      <w:lvlText w:val="%1"/>
      <w:lvlJc w:val="left"/>
      <w:rPr>
        <w:rFonts w:ascii="Times New Roman" w:eastAsia="Times New Roman" w:hAnsi="Times New Roman" w:cs="Times New Roman"/>
        <w:b w:val="0"/>
        <w:bCs w:val="0"/>
        <w:i w:val="0"/>
        <w:iCs w:val="0"/>
        <w:smallCaps w:val="0"/>
        <w:strike w:val="0"/>
        <w:color w:val="423E41"/>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23"/>
    <w:rsid w:val="002C2756"/>
    <w:rsid w:val="005350B4"/>
    <w:rsid w:val="00753380"/>
    <w:rsid w:val="00771A23"/>
    <w:rsid w:val="00E41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0F2B9"/>
  <w15:docId w15:val="{E9C9DAA3-A3A1-4AE5-ACD2-69222CD0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ий текст (2)_"/>
    <w:basedOn w:val="a0"/>
    <w:link w:val="22"/>
    <w:rPr>
      <w:rFonts w:ascii="Times New Roman" w:eastAsia="Times New Roman" w:hAnsi="Times New Roman" w:cs="Times New Roman"/>
      <w:b/>
      <w:bCs/>
      <w:i w:val="0"/>
      <w:iCs w:val="0"/>
      <w:smallCaps w:val="0"/>
      <w:strike w:val="0"/>
      <w:color w:val="423E41"/>
      <w:u w:val="none"/>
    </w:rPr>
  </w:style>
  <w:style w:type="character" w:customStyle="1" w:styleId="a3">
    <w:name w:val="Основний текст_"/>
    <w:basedOn w:val="a0"/>
    <w:link w:val="a4"/>
    <w:rPr>
      <w:rFonts w:ascii="Times New Roman" w:eastAsia="Times New Roman" w:hAnsi="Times New Roman" w:cs="Times New Roman"/>
      <w:b w:val="0"/>
      <w:bCs w:val="0"/>
      <w:i w:val="0"/>
      <w:iCs w:val="0"/>
      <w:smallCaps w:val="0"/>
      <w:strike w:val="0"/>
      <w:color w:val="423E41"/>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423E41"/>
      <w:sz w:val="36"/>
      <w:szCs w:val="36"/>
      <w:u w:val="none"/>
    </w:rPr>
  </w:style>
  <w:style w:type="character" w:customStyle="1" w:styleId="23">
    <w:name w:val="Заголовок №2_"/>
    <w:basedOn w:val="a0"/>
    <w:link w:val="24"/>
    <w:rPr>
      <w:rFonts w:ascii="Arial" w:eastAsia="Arial" w:hAnsi="Arial" w:cs="Arial"/>
      <w:b w:val="0"/>
      <w:bCs w:val="0"/>
      <w:i w:val="0"/>
      <w:iCs w:val="0"/>
      <w:smallCaps w:val="0"/>
      <w:strike w:val="0"/>
      <w:sz w:val="32"/>
      <w:szCs w:val="32"/>
      <w:u w:val="none"/>
    </w:rPr>
  </w:style>
  <w:style w:type="character" w:customStyle="1" w:styleId="3">
    <w:name w:val="Основний текст (3)_"/>
    <w:basedOn w:val="a0"/>
    <w:link w:val="30"/>
    <w:rPr>
      <w:rFonts w:ascii="Arial" w:eastAsia="Arial" w:hAnsi="Arial" w:cs="Arial"/>
      <w:b w:val="0"/>
      <w:bCs w:val="0"/>
      <w:i w:val="0"/>
      <w:iCs w:val="0"/>
      <w:smallCaps w:val="0"/>
      <w:strike w:val="0"/>
      <w:color w:val="6C6A71"/>
      <w:sz w:val="16"/>
      <w:szCs w:val="16"/>
      <w:u w:val="none"/>
    </w:rPr>
  </w:style>
  <w:style w:type="character" w:customStyle="1" w:styleId="a5">
    <w:name w:val="Підпис до зображення_"/>
    <w:basedOn w:val="a0"/>
    <w:link w:val="a6"/>
    <w:rPr>
      <w:rFonts w:ascii="Times New Roman" w:eastAsia="Times New Roman" w:hAnsi="Times New Roman" w:cs="Times New Roman"/>
      <w:b/>
      <w:bCs/>
      <w:i w:val="0"/>
      <w:iCs w:val="0"/>
      <w:smallCaps w:val="0"/>
      <w:strike w:val="0"/>
      <w:color w:val="423E41"/>
      <w:sz w:val="28"/>
      <w:szCs w:val="28"/>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ий текст (2)"/>
    <w:basedOn w:val="a"/>
    <w:link w:val="21"/>
    <w:pPr>
      <w:spacing w:line="235" w:lineRule="auto"/>
      <w:ind w:left="1340" w:hanging="1130"/>
    </w:pPr>
    <w:rPr>
      <w:rFonts w:ascii="Times New Roman" w:eastAsia="Times New Roman" w:hAnsi="Times New Roman" w:cs="Times New Roman"/>
      <w:b/>
      <w:bCs/>
      <w:color w:val="423E41"/>
    </w:rPr>
  </w:style>
  <w:style w:type="paragraph" w:customStyle="1" w:styleId="a4">
    <w:name w:val="Основний текст"/>
    <w:basedOn w:val="a"/>
    <w:link w:val="a3"/>
    <w:pPr>
      <w:ind w:firstLine="400"/>
    </w:pPr>
    <w:rPr>
      <w:rFonts w:ascii="Times New Roman" w:eastAsia="Times New Roman" w:hAnsi="Times New Roman" w:cs="Times New Roman"/>
      <w:color w:val="423E41"/>
      <w:sz w:val="28"/>
      <w:szCs w:val="28"/>
    </w:rPr>
  </w:style>
  <w:style w:type="paragraph" w:customStyle="1" w:styleId="10">
    <w:name w:val="Заголовок №1"/>
    <w:basedOn w:val="a"/>
    <w:link w:val="1"/>
    <w:pPr>
      <w:spacing w:after="240"/>
      <w:ind w:left="2680"/>
      <w:outlineLvl w:val="0"/>
    </w:pPr>
    <w:rPr>
      <w:rFonts w:ascii="Times New Roman" w:eastAsia="Times New Roman" w:hAnsi="Times New Roman" w:cs="Times New Roman"/>
      <w:b/>
      <w:bCs/>
      <w:color w:val="423E41"/>
      <w:sz w:val="36"/>
      <w:szCs w:val="36"/>
    </w:rPr>
  </w:style>
  <w:style w:type="paragraph" w:customStyle="1" w:styleId="24">
    <w:name w:val="Заголовок №2"/>
    <w:basedOn w:val="a"/>
    <w:link w:val="23"/>
    <w:pPr>
      <w:spacing w:after="130"/>
      <w:ind w:left="1520"/>
      <w:outlineLvl w:val="1"/>
    </w:pPr>
    <w:rPr>
      <w:rFonts w:ascii="Arial" w:eastAsia="Arial" w:hAnsi="Arial" w:cs="Arial"/>
      <w:sz w:val="32"/>
      <w:szCs w:val="32"/>
    </w:rPr>
  </w:style>
  <w:style w:type="paragraph" w:customStyle="1" w:styleId="30">
    <w:name w:val="Основний текст (3)"/>
    <w:basedOn w:val="a"/>
    <w:link w:val="3"/>
    <w:pPr>
      <w:spacing w:after="90"/>
      <w:ind w:left="1470"/>
    </w:pPr>
    <w:rPr>
      <w:rFonts w:ascii="Arial" w:eastAsia="Arial" w:hAnsi="Arial" w:cs="Arial"/>
      <w:color w:val="6C6A71"/>
      <w:sz w:val="16"/>
      <w:szCs w:val="16"/>
    </w:rPr>
  </w:style>
  <w:style w:type="paragraph" w:customStyle="1" w:styleId="a6">
    <w:name w:val="Підпис до зображення"/>
    <w:basedOn w:val="a"/>
    <w:link w:val="a5"/>
    <w:rPr>
      <w:rFonts w:ascii="Times New Roman" w:eastAsia="Times New Roman" w:hAnsi="Times New Roman" w:cs="Times New Roman"/>
      <w:b/>
      <w:bCs/>
      <w:color w:val="423E41"/>
      <w:sz w:val="28"/>
      <w:szCs w:val="28"/>
    </w:rPr>
  </w:style>
  <w:style w:type="paragraph" w:styleId="a7">
    <w:name w:val="header"/>
    <w:basedOn w:val="a"/>
    <w:link w:val="a8"/>
    <w:uiPriority w:val="99"/>
    <w:unhideWhenUsed/>
    <w:rsid w:val="002C2756"/>
    <w:pPr>
      <w:tabs>
        <w:tab w:val="center" w:pos="4819"/>
        <w:tab w:val="right" w:pos="9639"/>
      </w:tabs>
    </w:pPr>
  </w:style>
  <w:style w:type="character" w:customStyle="1" w:styleId="a8">
    <w:name w:val="Верхний колонтитул Знак"/>
    <w:basedOn w:val="a0"/>
    <w:link w:val="a7"/>
    <w:uiPriority w:val="99"/>
    <w:rsid w:val="002C2756"/>
    <w:rPr>
      <w:color w:val="000000"/>
    </w:rPr>
  </w:style>
  <w:style w:type="paragraph" w:styleId="a9">
    <w:name w:val="footer"/>
    <w:basedOn w:val="a"/>
    <w:link w:val="aa"/>
    <w:uiPriority w:val="99"/>
    <w:unhideWhenUsed/>
    <w:rsid w:val="002C2756"/>
    <w:pPr>
      <w:tabs>
        <w:tab w:val="center" w:pos="4819"/>
        <w:tab w:val="right" w:pos="9639"/>
      </w:tabs>
    </w:pPr>
  </w:style>
  <w:style w:type="character" w:customStyle="1" w:styleId="aa">
    <w:name w:val="Нижний колонтитул Знак"/>
    <w:basedOn w:val="a0"/>
    <w:link w:val="a9"/>
    <w:uiPriority w:val="99"/>
    <w:rsid w:val="002C2756"/>
    <w:rPr>
      <w:color w:val="000000"/>
    </w:rPr>
  </w:style>
  <w:style w:type="paragraph" w:styleId="ab">
    <w:name w:val="Balloon Text"/>
    <w:basedOn w:val="a"/>
    <w:link w:val="ac"/>
    <w:uiPriority w:val="99"/>
    <w:semiHidden/>
    <w:unhideWhenUsed/>
    <w:rsid w:val="00E41356"/>
    <w:rPr>
      <w:rFonts w:ascii="Segoe UI" w:hAnsi="Segoe UI" w:cs="Segoe UI"/>
      <w:sz w:val="18"/>
      <w:szCs w:val="18"/>
    </w:rPr>
  </w:style>
  <w:style w:type="character" w:customStyle="1" w:styleId="ac">
    <w:name w:val="Текст выноски Знак"/>
    <w:basedOn w:val="a0"/>
    <w:link w:val="ab"/>
    <w:uiPriority w:val="99"/>
    <w:semiHidden/>
    <w:rsid w:val="00E4135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3772</Words>
  <Characters>2151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PLG-9</cp:lastModifiedBy>
  <cp:revision>4</cp:revision>
  <cp:lastPrinted>2023-02-10T13:57:00Z</cp:lastPrinted>
  <dcterms:created xsi:type="dcterms:W3CDTF">2023-02-09T13:56:00Z</dcterms:created>
  <dcterms:modified xsi:type="dcterms:W3CDTF">2023-02-10T13:58:00Z</dcterms:modified>
</cp:coreProperties>
</file>