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bookmarkStart w:id="0" w:name="_GoBack"/>
      <w:bookmarkEnd w:id="0"/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19383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A843A3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0B0D12" w:rsidRDefault="002C40EF" w:rsidP="000B0D1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>Замовника</w:t>
      </w:r>
      <w:r w:rsidR="000B0D12">
        <w:rPr>
          <w:rFonts w:ascii="Times New Roman" w:hAnsi="Times New Roman" w:cs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 w:cs="Times New Roman"/>
          <w:sz w:val="24"/>
          <w:szCs w:val="24"/>
        </w:rPr>
        <w:t xml:space="preserve"> у закупівлі </w:t>
      </w:r>
      <w:r w:rsidR="008E0C12">
        <w:rPr>
          <w:rFonts w:ascii="Times New Roman" w:hAnsi="Times New Roman" w:cs="Times New Roman"/>
          <w:sz w:val="24"/>
          <w:szCs w:val="24"/>
          <w:lang w:val="ru-RU"/>
        </w:rPr>
        <w:t xml:space="preserve">електричної </w:t>
      </w:r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енергії 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F31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8A0F31">
        <w:rPr>
          <w:rFonts w:ascii="Times New Roman" w:hAnsi="Times New Roman" w:cs="Times New Roman"/>
          <w:sz w:val="24"/>
          <w:szCs w:val="24"/>
          <w:lang w:val="ru-RU"/>
        </w:rPr>
        <w:t>груд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0D12" w:rsidRPr="000B0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40EF" w:rsidRPr="000B0D12" w:rsidRDefault="000B0D12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використання товару</w:t>
      </w:r>
      <w:r>
        <w:rPr>
          <w:rFonts w:ascii="Times New Roman" w:eastAsia="Times New Roman" w:hAnsi="Times New Roman" w:cs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E45" w:rsidRDefault="00B44E6D" w:rsidP="00B4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E45" w:rsidRPr="002738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7E45" w:rsidRPr="00C36180">
        <w:rPr>
          <w:rFonts w:ascii="Times New Roman" w:hAnsi="Times New Roman" w:cs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 w:cs="Times New Roman"/>
          <w:sz w:val="24"/>
          <w:szCs w:val="24"/>
        </w:rPr>
        <w:t xml:space="preserve">а закупівлі повинні відповідати  </w:t>
      </w:r>
      <w:r w:rsidR="00A77E45" w:rsidRPr="00C36180">
        <w:rPr>
          <w:rFonts w:ascii="Times New Roman" w:hAnsi="Times New Roman" w:cs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A77E45" w:rsidRDefault="00A77E45" w:rsidP="00B44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A77E45" w:rsidRDefault="00A95CCA" w:rsidP="00204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</w:t>
      </w:r>
      <w:r w:rsidR="00B540A9">
        <w:rPr>
          <w:rFonts w:ascii="Times New Roman" w:hAnsi="Times New Roman" w:cs="Times New Roman"/>
          <w:sz w:val="24"/>
          <w:szCs w:val="24"/>
        </w:rPr>
        <w:t>,яка дорівнює кількості енергії, спожитої пристроями потужністю в один кіловат протягом однієї години.</w:t>
      </w:r>
    </w:p>
    <w:p w:rsidR="008D5AF7" w:rsidRDefault="008D5AF7" w:rsidP="008D5AF7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Закону України «Про ринок електричної енергії» від 13.04.2017 № 2019-VIII;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8D5AF7" w:rsidRDefault="008D5AF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A77E45" w:rsidRPr="00471DB9" w:rsidRDefault="008D5AF7" w:rsidP="0020485D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F86C3F" w:rsidRDefault="00366DF6" w:rsidP="00F86C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</w:t>
      </w:r>
      <w:r w:rsidR="0010686E">
        <w:t xml:space="preserve">електроенергії </w:t>
      </w:r>
      <w:r>
        <w:t xml:space="preserve"> за </w:t>
      </w:r>
      <w:r w:rsidR="008E0C12">
        <w:t>10</w:t>
      </w:r>
      <w:r w:rsidR="008F76BC">
        <w:t xml:space="preserve"> місяців поточного року.</w:t>
      </w:r>
      <w:r w:rsidR="00BE55ED">
        <w:t xml:space="preserve"> Замовником здійснено розрахунки очікуваної вартості товарів відповідно до примірної методики визначення очікуваної вартості предмета закупівлі,</w:t>
      </w:r>
      <w:r w:rsidR="008E0C12">
        <w:t xml:space="preserve"> </w:t>
      </w:r>
      <w:r w:rsidR="00BE55ED">
        <w:t>яка затверджена наказом Міністерства розвитку економіки, торгівлі та сільського господарства</w:t>
      </w:r>
      <w:r w:rsidR="00F81C5C">
        <w:t xml:space="preserve"> України 18.02.2020 №275.</w:t>
      </w:r>
    </w:p>
    <w:p w:rsidR="008A3682" w:rsidRDefault="000F3147" w:rsidP="008A36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 xml:space="preserve"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</w:t>
      </w:r>
      <w:r w:rsidRPr="00213DB0">
        <w:rPr>
          <w:color w:val="0E1D2F"/>
          <w:shd w:val="clear" w:color="auto" w:fill="FFFFFF"/>
        </w:rPr>
        <w:lastRenderedPageBreak/>
        <w:t>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 w:rsidR="00C51B57"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 w:rsidR="003E30C9">
        <w:rPr>
          <w:color w:val="0E1D2F"/>
          <w:shd w:val="clear" w:color="auto" w:fill="FFFFFF"/>
        </w:rPr>
        <w:t>: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 xml:space="preserve">= V х </w:t>
      </w:r>
      <w:proofErr w:type="spellStart"/>
      <w:r w:rsidRPr="003E30C9">
        <w:rPr>
          <w:color w:val="0E1D2F"/>
        </w:rPr>
        <w:t>Ц</w:t>
      </w:r>
      <w:r w:rsidRPr="003E30C9">
        <w:rPr>
          <w:color w:val="0E1D2F"/>
          <w:vertAlign w:val="subscript"/>
        </w:rPr>
        <w:t>тар</w:t>
      </w:r>
      <w:proofErr w:type="spellEnd"/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 w:rsidR="008A3682">
        <w:rPr>
          <w:color w:val="0E1D2F"/>
        </w:rPr>
        <w:t>кількість(</w:t>
      </w:r>
      <w:r w:rsidRPr="003E30C9">
        <w:rPr>
          <w:color w:val="0E1D2F"/>
        </w:rPr>
        <w:t>обсяг</w:t>
      </w:r>
      <w:r w:rsidR="008A3682"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 w:rsidR="008A3682"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 w:rsidR="008A3682">
        <w:rPr>
          <w:color w:val="0E1D2F"/>
        </w:rPr>
        <w:t>;</w:t>
      </w:r>
    </w:p>
    <w:p w:rsidR="003E30C9" w:rsidRPr="003E30C9" w:rsidRDefault="003E30C9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 w:rsidR="008A3682"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 w:rsidR="008A3682">
        <w:rPr>
          <w:color w:val="0E1D2F"/>
        </w:rPr>
        <w:t>– ціна (тариф)за одиницю )</w:t>
      </w:r>
      <w:r w:rsidR="008A3682" w:rsidRPr="003E30C9">
        <w:rPr>
          <w:color w:val="0E1D2F"/>
        </w:rPr>
        <w:t xml:space="preserve"> товарів/послуг,</w:t>
      </w:r>
      <w:r w:rsidR="008A3682">
        <w:rPr>
          <w:color w:val="0E1D2F"/>
        </w:rPr>
        <w:t>затверджена  відповідним нормативно-правовим актом</w:t>
      </w:r>
    </w:p>
    <w:p w:rsidR="003E30C9" w:rsidRPr="00852B65" w:rsidRDefault="00C119EE" w:rsidP="00C1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 162225кВТ*</w:t>
      </w:r>
      <w:proofErr w:type="spellStart"/>
      <w:r w:rsidRPr="00852B65">
        <w:rPr>
          <w:color w:val="0E1D2F"/>
          <w:shd w:val="clear" w:color="auto" w:fill="FFFFFF"/>
        </w:rPr>
        <w:t>год</w:t>
      </w:r>
      <w:proofErr w:type="spellEnd"/>
    </w:p>
    <w:p w:rsidR="00101571" w:rsidRPr="00852B65" w:rsidRDefault="00CB5CA2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 w:rsidR="000A44D5" w:rsidRPr="00852B65">
        <w:rPr>
          <w:lang w:val="ru-RU"/>
        </w:rPr>
        <w:t>1</w:t>
      </w:r>
      <w:r w:rsidR="00FB6A57" w:rsidRPr="00852B65">
        <w:rPr>
          <w:lang w:val="ru-RU"/>
        </w:rPr>
        <w:t> </w:t>
      </w:r>
      <w:r w:rsidR="000A44D5" w:rsidRPr="00852B65">
        <w:rPr>
          <w:lang w:val="ru-RU"/>
        </w:rPr>
        <w:t>054</w:t>
      </w:r>
      <w:r w:rsidR="00FB6A57" w:rsidRPr="00852B65">
        <w:rPr>
          <w:lang w:val="ru-RU"/>
        </w:rPr>
        <w:t xml:space="preserve"> </w:t>
      </w:r>
      <w:r w:rsidR="000A44D5" w:rsidRPr="00852B65">
        <w:rPr>
          <w:lang w:val="ru-RU"/>
        </w:rPr>
        <w:t>462,5</w:t>
      </w:r>
      <w:r w:rsidRPr="00852B65">
        <w:t xml:space="preserve"> грн. з ПДВ.</w:t>
      </w:r>
    </w:p>
    <w:p w:rsidR="007E7F7F" w:rsidRDefault="00101571" w:rsidP="002327D7">
      <w:pPr>
        <w:pStyle w:val="a3"/>
        <w:shd w:val="clear" w:color="auto" w:fill="FFFFFF"/>
        <w:spacing w:before="0" w:beforeAutospacing="0" w:after="200" w:afterAutospacing="0"/>
        <w:jc w:val="both"/>
      </w:pPr>
      <w:r>
        <w:t>Розмір бюджетного призначення визначений відповідно до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087647">
        <w:t xml:space="preserve"> 2023 рік</w:t>
      </w:r>
      <w:r w:rsidR="003D18A2" w:rsidRPr="0030497B">
        <w:t>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BDF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B3694"/>
    <w:rsid w:val="008D5AF7"/>
    <w:rsid w:val="008E0C12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96ADA"/>
    <w:rsid w:val="00BE55ED"/>
    <w:rsid w:val="00C1070C"/>
    <w:rsid w:val="00C119EE"/>
    <w:rsid w:val="00C23D9B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411E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BBEF-1DB5-415F-9608-D7CBCB84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RohatinOTG_9</cp:lastModifiedBy>
  <cp:revision>167</cp:revision>
  <cp:lastPrinted>2022-12-08T13:40:00Z</cp:lastPrinted>
  <dcterms:created xsi:type="dcterms:W3CDTF">2022-11-03T12:06:00Z</dcterms:created>
  <dcterms:modified xsi:type="dcterms:W3CDTF">2022-12-08T13:46:00Z</dcterms:modified>
</cp:coreProperties>
</file>